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A20C" w14:textId="541E28B4" w:rsidR="00F562DD" w:rsidRDefault="00F562DD" w:rsidP="00AB7678">
      <w:pPr>
        <w:pStyle w:val="Nessunaspaziatura"/>
        <w:jc w:val="center"/>
      </w:pPr>
      <w:r>
        <w:t>INTESTAZIONE STAZIONE APPALTANTE</w:t>
      </w:r>
    </w:p>
    <w:p w14:paraId="4C340CE7" w14:textId="77777777" w:rsidR="00F562DD" w:rsidRDefault="00F562DD" w:rsidP="00AB7678">
      <w:pPr>
        <w:pStyle w:val="Nessunaspaziatura"/>
        <w:jc w:val="center"/>
      </w:pPr>
    </w:p>
    <w:p w14:paraId="3F411D36" w14:textId="77777777" w:rsidR="00F562DD" w:rsidRDefault="00F562DD" w:rsidP="00AB7678">
      <w:pPr>
        <w:pStyle w:val="Nessunaspaziatura"/>
        <w:jc w:val="center"/>
      </w:pPr>
    </w:p>
    <w:p w14:paraId="18D18E8E" w14:textId="717CB238" w:rsidR="00F45548" w:rsidRDefault="000835D2" w:rsidP="00AB7678">
      <w:pPr>
        <w:pStyle w:val="Nessunaspaziatura"/>
        <w:jc w:val="center"/>
      </w:pPr>
      <w:r>
        <w:t>AUTORIZZAZIONE ALL’ACQUISTO DI BENI E SERVIZI INFORMATICI</w:t>
      </w:r>
      <w:r>
        <w:rPr>
          <w:spacing w:val="-47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 1,</w:t>
      </w:r>
      <w:r>
        <w:rPr>
          <w:spacing w:val="-3"/>
        </w:rPr>
        <w:t xml:space="preserve"> </w:t>
      </w:r>
      <w:r>
        <w:t>COMMA 516, DELLA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208/2015</w:t>
      </w:r>
    </w:p>
    <w:p w14:paraId="3A568BD1" w14:textId="77777777" w:rsidR="00F45548" w:rsidRDefault="00F45548" w:rsidP="00AB7678">
      <w:pPr>
        <w:pStyle w:val="Nessunaspaziatura"/>
        <w:jc w:val="center"/>
      </w:pPr>
    </w:p>
    <w:p w14:paraId="253EAD8A" w14:textId="77777777" w:rsidR="00F45548" w:rsidRDefault="000835D2" w:rsidP="00AB7678">
      <w:pPr>
        <w:pStyle w:val="Nessunaspaziatura"/>
        <w:jc w:val="center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5"/>
        </w:rPr>
        <w:t xml:space="preserve"> </w:t>
      </w:r>
      <w:r w:rsidR="00AB7678">
        <w:t>Generale</w:t>
      </w:r>
    </w:p>
    <w:p w14:paraId="70944E16" w14:textId="77777777" w:rsidR="00F45548" w:rsidRDefault="00F45548" w:rsidP="00AB7678">
      <w:pPr>
        <w:pStyle w:val="Nessunaspaziatura"/>
        <w:jc w:val="both"/>
        <w:rPr>
          <w:sz w:val="17"/>
        </w:rPr>
      </w:pPr>
    </w:p>
    <w:p w14:paraId="0484A2B9" w14:textId="77777777" w:rsidR="003110C5" w:rsidRDefault="000835D2" w:rsidP="00AB7678">
      <w:pPr>
        <w:pStyle w:val="Nessunaspaziatura"/>
        <w:jc w:val="both"/>
        <w:rPr>
          <w:spacing w:val="1"/>
        </w:rPr>
      </w:pPr>
      <w:r>
        <w:t>Premesso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segnalato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 w:rsidR="003110C5">
        <w:t>___________________________________</w:t>
      </w:r>
      <w:r>
        <w:t>, per il soddisfacimento di esigenze di funzionamento segnalate da</w:t>
      </w:r>
      <w:r w:rsidR="003110C5">
        <w:t xml:space="preserve">l </w:t>
      </w:r>
      <w:r w:rsidR="00AB7678">
        <w:t>servizio</w:t>
      </w:r>
      <w:r w:rsidR="003110C5">
        <w:t xml:space="preserve">/ufficio/area …. </w:t>
      </w:r>
      <w:r>
        <w:t>per l’esattezza si rende necessario provvedere</w:t>
      </w:r>
      <w:r>
        <w:rPr>
          <w:spacing w:val="1"/>
        </w:rPr>
        <w:t xml:space="preserve"> </w:t>
      </w:r>
      <w:r>
        <w:t>all’acquisto del seguente</w:t>
      </w:r>
      <w:r>
        <w:rPr>
          <w:spacing w:val="1"/>
        </w:rPr>
        <w:t xml:space="preserve"> </w:t>
      </w:r>
      <w:r w:rsidR="003110C5">
        <w:rPr>
          <w:spacing w:val="1"/>
        </w:rPr>
        <w:t xml:space="preserve">materiale (di tipo informatico) </w:t>
      </w:r>
    </w:p>
    <w:p w14:paraId="6F634914" w14:textId="77777777" w:rsidR="00F45548" w:rsidRDefault="003110C5" w:rsidP="00AB7678">
      <w:pPr>
        <w:pStyle w:val="Nessunaspaziatura"/>
        <w:jc w:val="both"/>
      </w:pPr>
      <w:r>
        <w:rPr>
          <w:spacing w:val="1"/>
        </w:rPr>
        <w:t>- (…)   per un importo pari ad euro __________________________</w:t>
      </w:r>
    </w:p>
    <w:p w14:paraId="4EF7751B" w14:textId="77777777" w:rsidR="00F45548" w:rsidRDefault="00F45548" w:rsidP="00AB7678">
      <w:pPr>
        <w:pStyle w:val="Nessunaspaziatura"/>
        <w:jc w:val="both"/>
        <w:rPr>
          <w:sz w:val="21"/>
        </w:rPr>
      </w:pPr>
    </w:p>
    <w:p w14:paraId="06547BEE" w14:textId="77777777" w:rsidR="00F45548" w:rsidRDefault="00AB7678" w:rsidP="00AB7678">
      <w:pPr>
        <w:pStyle w:val="Nessunaspaziatura"/>
        <w:jc w:val="both"/>
      </w:pPr>
      <w:r>
        <w:t>Rilevato</w:t>
      </w:r>
      <w:r w:rsidR="000835D2">
        <w:t>:</w:t>
      </w:r>
    </w:p>
    <w:p w14:paraId="72231B3F" w14:textId="77777777" w:rsidR="00AB7678" w:rsidRPr="00AB7678" w:rsidRDefault="000835D2" w:rsidP="00AB7678">
      <w:pPr>
        <w:pStyle w:val="Nessunaspaziatura"/>
        <w:numPr>
          <w:ilvl w:val="0"/>
          <w:numId w:val="2"/>
        </w:numPr>
        <w:jc w:val="both"/>
      </w:pPr>
      <w:r>
        <w:t>che la Legge di Stabilità 2016, legge n. 208 del 2015, ha inteso introdurre ulteriori misure di rafforzamento</w:t>
      </w:r>
      <w:r>
        <w:rPr>
          <w:spacing w:val="-47"/>
        </w:rPr>
        <w:t xml:space="preserve"> </w:t>
      </w:r>
      <w:r>
        <w:t>dell’acquisizione centralizzata basate sulle convenzioni-quadro stipulate da Consip, o da altre centrali di</w:t>
      </w:r>
      <w:r>
        <w:rPr>
          <w:spacing w:val="1"/>
        </w:rPr>
        <w:t xml:space="preserve"> </w:t>
      </w:r>
      <w:r>
        <w:t>committenza unificate a livello regionali, di cui all’articolo 26 della legge 23 dicembre 1999, n. 488, cui 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 sono chiamate</w:t>
      </w:r>
      <w:r>
        <w:rPr>
          <w:spacing w:val="1"/>
        </w:rPr>
        <w:t xml:space="preserve"> </w:t>
      </w:r>
      <w:r>
        <w:t>ad aderire.</w:t>
      </w:r>
      <w:r>
        <w:rPr>
          <w:spacing w:val="1"/>
        </w:rPr>
        <w:t xml:space="preserve"> </w:t>
      </w:r>
    </w:p>
    <w:p w14:paraId="47D92C28" w14:textId="77777777" w:rsidR="00F45548" w:rsidRDefault="00AB7678" w:rsidP="00AB7678">
      <w:pPr>
        <w:pStyle w:val="Nessunaspaziatura"/>
        <w:numPr>
          <w:ilvl w:val="0"/>
          <w:numId w:val="2"/>
        </w:numPr>
        <w:jc w:val="both"/>
      </w:pPr>
      <w:r>
        <w:t>i</w:t>
      </w:r>
      <w:r w:rsidR="000835D2">
        <w:t>n particolare</w:t>
      </w:r>
      <w:r w:rsidR="000835D2">
        <w:rPr>
          <w:spacing w:val="1"/>
        </w:rPr>
        <w:t xml:space="preserve"> </w:t>
      </w:r>
      <w:r>
        <w:rPr>
          <w:spacing w:val="1"/>
        </w:rPr>
        <w:t xml:space="preserve">che la previsione di cui </w:t>
      </w:r>
      <w:r w:rsidR="000835D2">
        <w:t>all’articolo</w:t>
      </w:r>
      <w:r w:rsidR="000835D2">
        <w:rPr>
          <w:spacing w:val="1"/>
        </w:rPr>
        <w:t xml:space="preserve"> </w:t>
      </w:r>
      <w:r w:rsidR="000835D2">
        <w:t>1,</w:t>
      </w:r>
      <w:r w:rsidR="000835D2">
        <w:rPr>
          <w:spacing w:val="1"/>
        </w:rPr>
        <w:t xml:space="preserve"> </w:t>
      </w:r>
      <w:r w:rsidR="000835D2">
        <w:t xml:space="preserve">comma 510, ha </w:t>
      </w:r>
      <w:r>
        <w:t>statuito</w:t>
      </w:r>
      <w:r w:rsidR="000835D2">
        <w:t xml:space="preserve">, che le </w:t>
      </w:r>
      <w:r>
        <w:t>“</w:t>
      </w:r>
      <w:r w:rsidR="000835D2">
        <w:t>Amministrazioni pubbliche obbligate ad approvvigionarsi attraverso le</w:t>
      </w:r>
      <w:r w:rsidR="000835D2">
        <w:rPr>
          <w:spacing w:val="1"/>
        </w:rPr>
        <w:t xml:space="preserve"> </w:t>
      </w:r>
      <w:r w:rsidR="000835D2">
        <w:t>convenzioni»</w:t>
      </w:r>
      <w:r w:rsidR="000835D2">
        <w:rPr>
          <w:spacing w:val="1"/>
        </w:rPr>
        <w:t xml:space="preserve"> </w:t>
      </w:r>
      <w:r w:rsidR="000835D2">
        <w:t>possano</w:t>
      </w:r>
      <w:r w:rsidR="000835D2">
        <w:rPr>
          <w:spacing w:val="1"/>
        </w:rPr>
        <w:t xml:space="preserve"> </w:t>
      </w:r>
      <w:r w:rsidR="000835D2">
        <w:t>procedere</w:t>
      </w:r>
      <w:r w:rsidR="000835D2">
        <w:rPr>
          <w:spacing w:val="1"/>
        </w:rPr>
        <w:t xml:space="preserve"> </w:t>
      </w:r>
      <w:r w:rsidR="000835D2">
        <w:t>a</w:t>
      </w:r>
      <w:r w:rsidR="000835D2">
        <w:rPr>
          <w:spacing w:val="1"/>
        </w:rPr>
        <w:t xml:space="preserve"> </w:t>
      </w:r>
      <w:r w:rsidR="000835D2">
        <w:t>forme</w:t>
      </w:r>
      <w:r w:rsidR="000835D2">
        <w:rPr>
          <w:spacing w:val="1"/>
        </w:rPr>
        <w:t xml:space="preserve"> </w:t>
      </w:r>
      <w:r w:rsidR="000835D2">
        <w:t>di</w:t>
      </w:r>
      <w:r w:rsidR="000835D2">
        <w:rPr>
          <w:spacing w:val="1"/>
        </w:rPr>
        <w:t xml:space="preserve"> </w:t>
      </w:r>
      <w:r w:rsidR="000835D2">
        <w:t>acquisto</w:t>
      </w:r>
      <w:r w:rsidR="000835D2">
        <w:rPr>
          <w:spacing w:val="1"/>
        </w:rPr>
        <w:t xml:space="preserve"> </w:t>
      </w:r>
      <w:r w:rsidR="000835D2">
        <w:t>autonome,</w:t>
      </w:r>
      <w:r w:rsidR="000835D2">
        <w:rPr>
          <w:spacing w:val="1"/>
        </w:rPr>
        <w:t xml:space="preserve"> </w:t>
      </w:r>
      <w:r w:rsidR="000835D2">
        <w:t>al</w:t>
      </w:r>
      <w:r w:rsidR="000835D2">
        <w:rPr>
          <w:spacing w:val="1"/>
        </w:rPr>
        <w:t xml:space="preserve"> </w:t>
      </w:r>
      <w:r w:rsidR="000835D2">
        <w:t>di</w:t>
      </w:r>
      <w:r w:rsidR="000835D2">
        <w:rPr>
          <w:spacing w:val="1"/>
        </w:rPr>
        <w:t xml:space="preserve"> </w:t>
      </w:r>
      <w:r w:rsidR="000835D2">
        <w:t>fuori</w:t>
      </w:r>
      <w:r w:rsidR="000835D2">
        <w:rPr>
          <w:spacing w:val="1"/>
        </w:rPr>
        <w:t xml:space="preserve"> </w:t>
      </w:r>
      <w:r w:rsidR="000835D2">
        <w:t>delle</w:t>
      </w:r>
      <w:r w:rsidR="000835D2">
        <w:rPr>
          <w:spacing w:val="1"/>
        </w:rPr>
        <w:t xml:space="preserve"> </w:t>
      </w:r>
      <w:r w:rsidR="000835D2">
        <w:t>convenzioni,</w:t>
      </w:r>
      <w:r w:rsidR="000835D2">
        <w:rPr>
          <w:spacing w:val="1"/>
        </w:rPr>
        <w:t xml:space="preserve"> </w:t>
      </w:r>
      <w:r w:rsidR="000835D2">
        <w:t>esclusivamente dietro apposita autorizzazione preventiva «specificamente motivata resa dall’organo di</w:t>
      </w:r>
      <w:r w:rsidR="000835D2">
        <w:rPr>
          <w:spacing w:val="1"/>
        </w:rPr>
        <w:t xml:space="preserve"> </w:t>
      </w:r>
      <w:r w:rsidR="000835D2">
        <w:t>vertice amministrativo e trasmessa al competente ufficio della Corte dei conti, qualora il bene o il servizio</w:t>
      </w:r>
      <w:r w:rsidR="000835D2">
        <w:rPr>
          <w:spacing w:val="1"/>
        </w:rPr>
        <w:t xml:space="preserve"> </w:t>
      </w:r>
      <w:r w:rsidR="000835D2">
        <w:t>oggetto di convenzione non sia idoneo al soddisfacimento dello specifico fabbisogno dell’amministrazione</w:t>
      </w:r>
      <w:r w:rsidR="000835D2">
        <w:rPr>
          <w:spacing w:val="1"/>
        </w:rPr>
        <w:t xml:space="preserve"> </w:t>
      </w:r>
      <w:r w:rsidR="000835D2">
        <w:t>per</w:t>
      </w:r>
      <w:r w:rsidR="000835D2">
        <w:rPr>
          <w:spacing w:val="-1"/>
        </w:rPr>
        <w:t xml:space="preserve"> </w:t>
      </w:r>
      <w:r w:rsidR="000835D2">
        <w:t>mancanza</w:t>
      </w:r>
      <w:r w:rsidR="000835D2">
        <w:rPr>
          <w:spacing w:val="-1"/>
        </w:rPr>
        <w:t xml:space="preserve"> </w:t>
      </w:r>
      <w:r w:rsidR="000835D2">
        <w:t>di</w:t>
      </w:r>
      <w:r w:rsidR="000835D2">
        <w:rPr>
          <w:spacing w:val="-1"/>
        </w:rPr>
        <w:t xml:space="preserve"> </w:t>
      </w:r>
      <w:r w:rsidR="000835D2">
        <w:t>caratteristiche essenziali</w:t>
      </w:r>
      <w:r>
        <w:t xml:space="preserve">”; </w:t>
      </w:r>
    </w:p>
    <w:p w14:paraId="717FE680" w14:textId="77777777" w:rsidR="00F45548" w:rsidRDefault="000835D2" w:rsidP="00AB7678">
      <w:pPr>
        <w:pStyle w:val="Nessunaspaziatura"/>
        <w:numPr>
          <w:ilvl w:val="0"/>
          <w:numId w:val="2"/>
        </w:numPr>
        <w:jc w:val="both"/>
      </w:pPr>
      <w:r>
        <w:t xml:space="preserve">che il </w:t>
      </w:r>
      <w:r w:rsidR="00AB7678">
        <w:t xml:space="preserve">successivo </w:t>
      </w:r>
      <w:r>
        <w:t xml:space="preserve">comma 512, prima parte, dell’art. 1 </w:t>
      </w:r>
      <w:r w:rsidR="00AB7678">
        <w:t xml:space="preserve">sopra citato si </w:t>
      </w:r>
      <w:r>
        <w:t xml:space="preserve">dispone </w:t>
      </w:r>
      <w:r w:rsidR="00AB7678">
        <w:t xml:space="preserve">che </w:t>
      </w:r>
      <w:r>
        <w:t>“</w:t>
      </w:r>
      <w:r w:rsidR="00AB7678">
        <w:t>a</w:t>
      </w:r>
      <w:r>
        <w:t>l fine di garantire</w:t>
      </w:r>
      <w:r>
        <w:rPr>
          <w:spacing w:val="1"/>
        </w:rPr>
        <w:t xml:space="preserve"> </w:t>
      </w:r>
      <w:r>
        <w:t>l'ottimizzazione e la razionalizzazione degli acquisti di beni e servizi informatici e di connettività, fermi</w:t>
      </w:r>
      <w:r>
        <w:rPr>
          <w:spacing w:val="1"/>
        </w:rPr>
        <w:t xml:space="preserve"> </w:t>
      </w:r>
      <w:r>
        <w:t>restando gli obblighi di acquisizione centralizzata previsti per i beni e servizi dalla normativa vigente, 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inserite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consolidato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 come individuate dall'Istituto nazionale di statistica (ISTAT) ai sensi dell'articolo 1 della</w:t>
      </w:r>
      <w:r>
        <w:rPr>
          <w:spacing w:val="1"/>
        </w:rPr>
        <w:t xml:space="preserve"> </w:t>
      </w:r>
      <w:r>
        <w:t>legge 31 dicembre 2009, n. 196, provvedono ai propri approvvigionamenti esclusivamente tramite Consip</w:t>
      </w:r>
      <w:r>
        <w:rPr>
          <w:spacing w:val="1"/>
        </w:rPr>
        <w:t xml:space="preserve"> </w:t>
      </w:r>
      <w:proofErr w:type="spellStart"/>
      <w:r>
        <w:t>SpA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aggregatori,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centrali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committenza</w:t>
      </w:r>
      <w:r>
        <w:rPr>
          <w:spacing w:val="1"/>
        </w:rPr>
        <w:t xml:space="preserve"> </w:t>
      </w:r>
      <w:r>
        <w:t>regionali,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disponibili</w:t>
      </w:r>
      <w:r>
        <w:rPr>
          <w:spacing w:val="-1"/>
        </w:rPr>
        <w:t xml:space="preserve"> </w:t>
      </w:r>
      <w:r>
        <w:t>presso gli</w:t>
      </w:r>
      <w:r>
        <w:rPr>
          <w:spacing w:val="-1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soggetti”</w:t>
      </w:r>
    </w:p>
    <w:p w14:paraId="52BAB2E3" w14:textId="77777777" w:rsidR="00F45548" w:rsidRDefault="000835D2" w:rsidP="00AB7678">
      <w:pPr>
        <w:pStyle w:val="Nessunaspaziatura"/>
        <w:numPr>
          <w:ilvl w:val="0"/>
          <w:numId w:val="2"/>
        </w:numPr>
        <w:jc w:val="both"/>
      </w:pPr>
      <w:r>
        <w:t xml:space="preserve">che il comma 516 </w:t>
      </w:r>
      <w:r w:rsidR="00AB7678">
        <w:t>dello stesso articolo consente la possibilità di “”</w:t>
      </w:r>
      <w:r>
        <w:t>procedere ad approvvigionamenti al di fuori delle modalità di cui ai commi 512 e</w:t>
      </w:r>
      <w:r>
        <w:rPr>
          <w:spacing w:val="-47"/>
        </w:rPr>
        <w:t xml:space="preserve"> </w:t>
      </w:r>
      <w:r>
        <w:t>514 esclusivamente a seguito di apposita autorizzazione motivata dell’organo di vertice amministrativo,</w:t>
      </w:r>
      <w:r>
        <w:rPr>
          <w:spacing w:val="1"/>
        </w:rPr>
        <w:t xml:space="preserve"> </w:t>
      </w:r>
      <w:r>
        <w:t>qualora il bene o il servizio non sia disponibile o idoneo al soddisfacimento dello specifico fabbisogno</w:t>
      </w:r>
      <w:r>
        <w:rPr>
          <w:spacing w:val="1"/>
        </w:rPr>
        <w:t xml:space="preserve"> </w:t>
      </w:r>
      <w:r>
        <w:t>dell’amministrazione ovvero in casi di necessità ed urgenza comunque funzionali ad assicurare la continuità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amministrativa.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approvvigionamenti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>all’Autorità</w:t>
      </w:r>
      <w:r>
        <w:rPr>
          <w:spacing w:val="-3"/>
        </w:rPr>
        <w:t xml:space="preserve"> </w:t>
      </w:r>
      <w:r>
        <w:t>nazionale anticorruzione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</w:t>
      </w:r>
      <w:proofErr w:type="spellStart"/>
      <w:r>
        <w:t>Agid</w:t>
      </w:r>
      <w:proofErr w:type="spellEnd"/>
      <w:r>
        <w:t>”.</w:t>
      </w:r>
    </w:p>
    <w:p w14:paraId="5F6D8801" w14:textId="77777777" w:rsidR="00F45548" w:rsidRDefault="00F45548" w:rsidP="00AB7678">
      <w:pPr>
        <w:pStyle w:val="Nessunaspaziatura"/>
        <w:jc w:val="both"/>
        <w:rPr>
          <w:sz w:val="21"/>
        </w:rPr>
      </w:pPr>
    </w:p>
    <w:p w14:paraId="08076A87" w14:textId="77777777" w:rsidR="00F45548" w:rsidRDefault="000835D2" w:rsidP="00AB7678">
      <w:pPr>
        <w:pStyle w:val="Nessunaspaziatura"/>
        <w:jc w:val="both"/>
      </w:pPr>
      <w:r>
        <w:t>Dato atto,</w:t>
      </w:r>
      <w:r>
        <w:rPr>
          <w:spacing w:val="-4"/>
        </w:rPr>
        <w:t xml:space="preserve"> </w:t>
      </w:r>
      <w:r>
        <w:t>dunque:</w:t>
      </w:r>
    </w:p>
    <w:p w14:paraId="1F8E808E" w14:textId="77777777" w:rsidR="00AB7678" w:rsidRDefault="000835D2" w:rsidP="00AB7678">
      <w:pPr>
        <w:pStyle w:val="Nessunaspaziatura"/>
        <w:numPr>
          <w:ilvl w:val="0"/>
          <w:numId w:val="3"/>
        </w:numPr>
        <w:jc w:val="both"/>
      </w:pPr>
      <w:r>
        <w:t xml:space="preserve">che il </w:t>
      </w:r>
      <w:r w:rsidR="00AB7678">
        <w:t>citato comma</w:t>
      </w:r>
      <w:r>
        <w:t xml:space="preserve"> 516 </w:t>
      </w:r>
      <w:proofErr w:type="gramStart"/>
      <w:r w:rsidR="00AB7678">
        <w:t xml:space="preserve">ammette </w:t>
      </w:r>
      <w:r>
        <w:t xml:space="preserve"> espressamente</w:t>
      </w:r>
      <w:proofErr w:type="gramEnd"/>
      <w:r>
        <w:t xml:space="preserve"> la possibilità, </w:t>
      </w:r>
      <w:r w:rsidR="00AB7678">
        <w:t xml:space="preserve">pur </w:t>
      </w:r>
      <w:r>
        <w:t>in via eccezionale</w:t>
      </w:r>
      <w:r w:rsidR="00AB7678">
        <w:t xml:space="preserve"> con adeguata motivazione</w:t>
      </w:r>
      <w:r>
        <w:t xml:space="preserve">, </w:t>
      </w:r>
      <w:r w:rsidR="00AB7678">
        <w:t xml:space="preserve">di procedere con l’acquisizione del “bene” informatico senza ricorrere al mercato elettronico qualora si registri: </w:t>
      </w:r>
    </w:p>
    <w:p w14:paraId="38E69450" w14:textId="77777777" w:rsidR="00AB7678" w:rsidRDefault="00AB7678" w:rsidP="00AB7678">
      <w:pPr>
        <w:pStyle w:val="Nessunaspaziatura"/>
        <w:numPr>
          <w:ilvl w:val="0"/>
          <w:numId w:val="4"/>
        </w:numPr>
        <w:jc w:val="both"/>
      </w:pPr>
      <w:r>
        <w:t>l’indisponibilità del bene;</w:t>
      </w:r>
    </w:p>
    <w:p w14:paraId="00D49AE8" w14:textId="77777777" w:rsidR="00AB7678" w:rsidRDefault="00AB7678" w:rsidP="00AB7678">
      <w:pPr>
        <w:pStyle w:val="Nessunaspaziatura"/>
        <w:numPr>
          <w:ilvl w:val="0"/>
          <w:numId w:val="4"/>
        </w:numPr>
        <w:jc w:val="both"/>
      </w:pPr>
      <w:r>
        <w:t xml:space="preserve">inidoneità dello stesso a soddisfare i desiderata della stazione appaltante; </w:t>
      </w:r>
    </w:p>
    <w:p w14:paraId="77476196" w14:textId="77777777" w:rsidR="00F45548" w:rsidRDefault="000835D2" w:rsidP="00AB7678">
      <w:pPr>
        <w:pStyle w:val="Nessunaspaziatura"/>
        <w:numPr>
          <w:ilvl w:val="0"/>
          <w:numId w:val="4"/>
        </w:numPr>
        <w:jc w:val="both"/>
      </w:pPr>
      <w:r>
        <w:t>ovvero nei casi di necessità e urgenza</w:t>
      </w:r>
      <w:r>
        <w:rPr>
          <w:spacing w:val="1"/>
        </w:rPr>
        <w:t xml:space="preserve"> </w:t>
      </w:r>
      <w:r>
        <w:t>comunque funzionali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amministrativa;</w:t>
      </w:r>
    </w:p>
    <w:p w14:paraId="0877B740" w14:textId="77777777" w:rsidR="00AB7678" w:rsidRDefault="00AB7678" w:rsidP="00AB7678">
      <w:pPr>
        <w:pStyle w:val="Nessunaspaziatura"/>
        <w:numPr>
          <w:ilvl w:val="0"/>
          <w:numId w:val="4"/>
        </w:numPr>
        <w:jc w:val="both"/>
      </w:pPr>
      <w:r>
        <w:t xml:space="preserve">che tra le condizioni di inidoneità si ritiene possa rientrare anche il forte risparmio economico – a parità di condizioni tecnico/qualitative del prodotto che verranno debitamente certificate a cura del RUP in ogni atto di acquisto;  </w:t>
      </w:r>
    </w:p>
    <w:p w14:paraId="73BDC5B9" w14:textId="77777777" w:rsidR="00AB7678" w:rsidRDefault="00AB7678" w:rsidP="00AB7678">
      <w:pPr>
        <w:pStyle w:val="Nessunaspaziatura"/>
        <w:numPr>
          <w:ilvl w:val="0"/>
          <w:numId w:val="4"/>
        </w:numPr>
        <w:jc w:val="both"/>
      </w:pPr>
      <w:r>
        <w:t xml:space="preserve">che nei casi di cui si è detto la legittimità dell’acquisto esige una previa autorizzazione da parte del vertice dell’organizzazione e che tale figura è indentificata nel segretario generale; </w:t>
      </w:r>
    </w:p>
    <w:p w14:paraId="5257423E" w14:textId="77777777" w:rsidR="00AB7678" w:rsidRDefault="00AB7678" w:rsidP="00AB7678">
      <w:pPr>
        <w:pStyle w:val="Nessunaspaziatura"/>
        <w:jc w:val="both"/>
      </w:pPr>
    </w:p>
    <w:p w14:paraId="78951E0F" w14:textId="77777777" w:rsidR="00F45548" w:rsidRDefault="000835D2" w:rsidP="00AB7678">
      <w:pPr>
        <w:pStyle w:val="Nessunaspaziatura"/>
        <w:jc w:val="both"/>
      </w:pPr>
      <w:r>
        <w:lastRenderedPageBreak/>
        <w:t>Verificato</w:t>
      </w:r>
      <w:r>
        <w:rPr>
          <w:spacing w:val="-2"/>
        </w:rPr>
        <w:t xml:space="preserve"> </w:t>
      </w:r>
      <w:r>
        <w:t>infine:</w:t>
      </w:r>
    </w:p>
    <w:p w14:paraId="0BAF27FA" w14:textId="77777777" w:rsidR="00AB7678" w:rsidRDefault="00AB7678" w:rsidP="00AB7678">
      <w:pPr>
        <w:pStyle w:val="Nessunaspaziatura"/>
        <w:jc w:val="both"/>
      </w:pPr>
      <w:r>
        <w:t>(</w:t>
      </w:r>
      <w:proofErr w:type="gramStart"/>
      <w:r>
        <w:t>INDICARE  LA</w:t>
      </w:r>
      <w:proofErr w:type="gramEnd"/>
      <w:r>
        <w:t xml:space="preserve"> FATTISPECIE …) </w:t>
      </w:r>
    </w:p>
    <w:p w14:paraId="599D657B" w14:textId="77777777" w:rsidR="00F45548" w:rsidRDefault="00F45548" w:rsidP="00AB7678">
      <w:pPr>
        <w:pStyle w:val="Nessunaspaziatura"/>
        <w:jc w:val="both"/>
        <w:rPr>
          <w:sz w:val="32"/>
        </w:rPr>
      </w:pPr>
    </w:p>
    <w:p w14:paraId="064AFA5A" w14:textId="77777777" w:rsidR="00AB7678" w:rsidRDefault="00AB7678" w:rsidP="00AB7678">
      <w:pPr>
        <w:pStyle w:val="Nessunaspaziatura"/>
        <w:jc w:val="both"/>
        <w:rPr>
          <w:sz w:val="32"/>
        </w:rPr>
      </w:pPr>
      <w:r>
        <w:rPr>
          <w:sz w:val="32"/>
        </w:rPr>
        <w:t>_ (…)</w:t>
      </w:r>
    </w:p>
    <w:p w14:paraId="0572F9EF" w14:textId="77777777" w:rsidR="00AB7678" w:rsidRDefault="00AB7678" w:rsidP="00AB7678">
      <w:pPr>
        <w:pStyle w:val="Nessunaspaziatura"/>
        <w:jc w:val="both"/>
        <w:rPr>
          <w:sz w:val="32"/>
        </w:rPr>
      </w:pPr>
      <w:r>
        <w:rPr>
          <w:sz w:val="32"/>
        </w:rPr>
        <w:t xml:space="preserve">NEL CASO DELL’ECONOMICITA’ INDICARE ALMENO UN RIFERIMENTO …  </w:t>
      </w:r>
    </w:p>
    <w:p w14:paraId="26EAF1E2" w14:textId="77777777" w:rsidR="00AB7678" w:rsidRDefault="00AB7678" w:rsidP="00AB7678">
      <w:pPr>
        <w:pStyle w:val="Nessunaspaziatura"/>
        <w:jc w:val="both"/>
        <w:rPr>
          <w:sz w:val="32"/>
        </w:rPr>
      </w:pPr>
    </w:p>
    <w:p w14:paraId="1E4E3D73" w14:textId="77777777" w:rsidR="00F45548" w:rsidRDefault="000835D2" w:rsidP="00AB7678">
      <w:pPr>
        <w:pStyle w:val="Nessunaspaziatura"/>
        <w:jc w:val="both"/>
      </w:pPr>
      <w:r>
        <w:t>Ritenuti pertanto sussistenti i presupposti di legge per procedere all’acquisto in deroga agli obblighi di</w:t>
      </w:r>
      <w:r>
        <w:rPr>
          <w:spacing w:val="1"/>
        </w:rPr>
        <w:t xml:space="preserve"> </w:t>
      </w:r>
      <w:r>
        <w:t>ricorso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Consip,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quanto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dell’obbligo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ricorrere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mercato</w:t>
      </w:r>
      <w:r>
        <w:rPr>
          <w:spacing w:val="8"/>
        </w:rPr>
        <w:t xml:space="preserve"> </w:t>
      </w:r>
      <w:r>
        <w:t>elettronico</w:t>
      </w:r>
      <w:r>
        <w:rPr>
          <w:spacing w:val="7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può</w:t>
      </w:r>
      <w:r>
        <w:rPr>
          <w:spacing w:val="7"/>
        </w:rPr>
        <w:t xml:space="preserve"> </w:t>
      </w:r>
      <w:r>
        <w:t>giungere</w:t>
      </w:r>
      <w:r>
        <w:rPr>
          <w:spacing w:val="8"/>
        </w:rPr>
        <w:t xml:space="preserve"> </w:t>
      </w:r>
      <w:proofErr w:type="gramStart"/>
      <w:r>
        <w:t>fino</w:t>
      </w:r>
      <w:r w:rsidR="00AB7678">
        <w:t xml:space="preserve"> </w:t>
      </w:r>
      <w:r>
        <w:rPr>
          <w:spacing w:val="-48"/>
        </w:rPr>
        <w:t xml:space="preserve"> </w:t>
      </w:r>
      <w:r>
        <w:t>a</w:t>
      </w:r>
      <w:proofErr w:type="gramEnd"/>
      <w:r>
        <w:t xml:space="preserve"> dovere imporre impegni di spesa diseconomici e inconferenti rispetto alle esigenze da soddisfare (cfr. in</w:t>
      </w:r>
      <w:r>
        <w:rPr>
          <w:spacing w:val="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senso, Corte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Conti,</w:t>
      </w:r>
      <w:r>
        <w:rPr>
          <w:spacing w:val="-3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Liguria,</w:t>
      </w:r>
      <w:r>
        <w:rPr>
          <w:spacing w:val="-1"/>
        </w:rPr>
        <w:t xml:space="preserve"> </w:t>
      </w:r>
      <w:r>
        <w:t>delibera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14/2016);</w:t>
      </w:r>
    </w:p>
    <w:p w14:paraId="3A983028" w14:textId="77777777" w:rsidR="00F45548" w:rsidRDefault="000835D2" w:rsidP="00AB7678">
      <w:pPr>
        <w:pStyle w:val="Nessunaspaziatura"/>
        <w:jc w:val="both"/>
      </w:pPr>
      <w:r>
        <w:t>Richiamata infine la deliberazione 12/2016 della Corte dei Conti a Sezioni Riunite, con la quale i magistrati</w:t>
      </w:r>
      <w:r>
        <w:rPr>
          <w:spacing w:val="1"/>
        </w:rPr>
        <w:t xml:space="preserve"> </w:t>
      </w:r>
      <w:r>
        <w:t>contabili hanno chiarito che l’obbligo di invio alle sezioni regionali di controllo degli atti di autorizzazione</w:t>
      </w:r>
      <w:r>
        <w:rPr>
          <w:spacing w:val="1"/>
        </w:rPr>
        <w:t xml:space="preserve"> </w:t>
      </w:r>
      <w:r>
        <w:t>all’acquisizione di beni e servizi in deroga alle procedure centralizzate non trova applicazione nel caso di</w:t>
      </w:r>
      <w:r>
        <w:rPr>
          <w:spacing w:val="1"/>
        </w:rPr>
        <w:t xml:space="preserve"> </w:t>
      </w:r>
      <w:r>
        <w:t>acquisti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deroga</w:t>
      </w:r>
      <w:r>
        <w:rPr>
          <w:spacing w:val="30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settore</w:t>
      </w:r>
      <w:r>
        <w:rPr>
          <w:spacing w:val="31"/>
        </w:rPr>
        <w:t xml:space="preserve"> </w:t>
      </w:r>
      <w:r>
        <w:t>dell’informatica</w:t>
      </w:r>
      <w:r>
        <w:rPr>
          <w:spacing w:val="30"/>
        </w:rPr>
        <w:t xml:space="preserve"> </w:t>
      </w:r>
      <w:r>
        <w:t>(in</w:t>
      </w:r>
      <w:r>
        <w:rPr>
          <w:spacing w:val="30"/>
        </w:rPr>
        <w:t xml:space="preserve"> </w:t>
      </w:r>
      <w:r>
        <w:t>tal</w:t>
      </w:r>
      <w:r>
        <w:rPr>
          <w:spacing w:val="29"/>
        </w:rPr>
        <w:t xml:space="preserve"> </w:t>
      </w:r>
      <w:r>
        <w:t>caso,</w:t>
      </w:r>
      <w:r>
        <w:rPr>
          <w:spacing w:val="31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comma</w:t>
      </w:r>
      <w:r>
        <w:rPr>
          <w:spacing w:val="28"/>
        </w:rPr>
        <w:t xml:space="preserve"> </w:t>
      </w:r>
      <w:r>
        <w:t>516</w:t>
      </w:r>
      <w:r>
        <w:rPr>
          <w:spacing w:val="32"/>
        </w:rPr>
        <w:t xml:space="preserve"> </w:t>
      </w:r>
      <w:r>
        <w:t>indica,</w:t>
      </w:r>
      <w:r>
        <w:rPr>
          <w:spacing w:val="30"/>
        </w:rPr>
        <w:t xml:space="preserve"> </w:t>
      </w:r>
      <w:r>
        <w:t>infatti,</w:t>
      </w:r>
      <w:r>
        <w:rPr>
          <w:spacing w:val="30"/>
        </w:rPr>
        <w:t xml:space="preserve"> </w:t>
      </w:r>
      <w:r>
        <w:t>quali</w:t>
      </w:r>
      <w:r>
        <w:rPr>
          <w:spacing w:val="30"/>
        </w:rPr>
        <w:t xml:space="preserve"> </w:t>
      </w:r>
      <w:r>
        <w:t>destinatari</w:t>
      </w:r>
      <w:r>
        <w:rPr>
          <w:spacing w:val="-47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comunicazioni delle</w:t>
      </w:r>
      <w:r>
        <w:rPr>
          <w:spacing w:val="-2"/>
        </w:rPr>
        <w:t xml:space="preserve"> </w:t>
      </w:r>
      <w:r>
        <w:t>deroghe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acquisti centralizzati</w:t>
      </w:r>
      <w:r>
        <w:rPr>
          <w:spacing w:val="-1"/>
        </w:rPr>
        <w:t xml:space="preserve"> </w:t>
      </w:r>
      <w:r>
        <w:t>l’ANAC</w:t>
      </w:r>
      <w:r>
        <w:rPr>
          <w:spacing w:val="-1"/>
        </w:rPr>
        <w:t xml:space="preserve"> </w:t>
      </w:r>
      <w:r>
        <w:t>e l’AGID);</w:t>
      </w:r>
    </w:p>
    <w:p w14:paraId="7B7C3E07" w14:textId="77777777" w:rsidR="00F45548" w:rsidRDefault="000835D2" w:rsidP="00AB7678">
      <w:pPr>
        <w:pStyle w:val="Nessunaspaziatura"/>
        <w:jc w:val="both"/>
      </w:pPr>
      <w:r>
        <w:t>Attesa</w:t>
      </w:r>
      <w:r>
        <w:rPr>
          <w:spacing w:val="-2"/>
        </w:rPr>
        <w:t xml:space="preserve"> </w:t>
      </w:r>
      <w:r>
        <w:t>l’assenza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d’interesse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atto;</w:t>
      </w:r>
    </w:p>
    <w:p w14:paraId="68648807" w14:textId="77777777" w:rsidR="00AB7678" w:rsidRDefault="00AB7678" w:rsidP="00AB7678">
      <w:pPr>
        <w:pStyle w:val="Nessunaspaziatura"/>
        <w:jc w:val="both"/>
      </w:pPr>
    </w:p>
    <w:p w14:paraId="73C36D8D" w14:textId="77777777" w:rsidR="00F45548" w:rsidRDefault="000835D2" w:rsidP="00AB7678">
      <w:pPr>
        <w:pStyle w:val="Nessunaspaziatura"/>
        <w:jc w:val="center"/>
      </w:pPr>
      <w:r>
        <w:t>AUTORIZZA</w:t>
      </w:r>
    </w:p>
    <w:p w14:paraId="2B4EA17A" w14:textId="77777777" w:rsidR="00F45548" w:rsidRDefault="000835D2" w:rsidP="00AB7678">
      <w:pPr>
        <w:pStyle w:val="Nessunaspaziatura"/>
        <w:jc w:val="both"/>
      </w:pPr>
      <w:r>
        <w:t xml:space="preserve">il </w:t>
      </w:r>
      <w:r w:rsidR="00AB7678">
        <w:t>dirigente/</w:t>
      </w:r>
      <w:r>
        <w:t xml:space="preserve">Responsabile </w:t>
      </w:r>
      <w:r w:rsidR="00AB7678">
        <w:t>______________________________</w:t>
      </w:r>
      <w:r>
        <w:t xml:space="preserve">, </w:t>
      </w:r>
      <w:r w:rsidR="00AB7678">
        <w:t xml:space="preserve">anche RUP dell’intervento, </w:t>
      </w:r>
      <w:r>
        <w:t>per le motivazioni suesposte, ai</w:t>
      </w:r>
      <w:r>
        <w:rPr>
          <w:spacing w:val="1"/>
        </w:rPr>
        <w:t xml:space="preserve"> </w:t>
      </w:r>
      <w:r>
        <w:t>sensi del Comma 516,</w:t>
      </w:r>
      <w:r>
        <w:rPr>
          <w:spacing w:val="1"/>
        </w:rPr>
        <w:t xml:space="preserve"> </w:t>
      </w:r>
      <w:r>
        <w:t>della L.28/12/2016, n. 208, all’acquisto</w:t>
      </w:r>
      <w:r>
        <w:rPr>
          <w:spacing w:val="1"/>
        </w:rPr>
        <w:t xml:space="preserve"> </w:t>
      </w:r>
      <w:r>
        <w:t>dei beni e</w:t>
      </w:r>
      <w:r>
        <w:rPr>
          <w:spacing w:val="1"/>
        </w:rPr>
        <w:t xml:space="preserve"> </w:t>
      </w:r>
      <w:r>
        <w:t>servizi informatici necessari,</w:t>
      </w:r>
      <w:r>
        <w:rPr>
          <w:spacing w:val="1"/>
        </w:rPr>
        <w:t xml:space="preserve"> </w:t>
      </w:r>
      <w:r>
        <w:t>elencati in premessa, in deroga agli obblighi di acquisizione centralizzata imposti dai Commi 512 e 514 della</w:t>
      </w:r>
      <w:r>
        <w:rPr>
          <w:spacing w:val="1"/>
        </w:rPr>
        <w:t xml:space="preserve"> </w:t>
      </w:r>
      <w:r>
        <w:t>medesima legge. Con la precisazione che gli affidamenti effettuati dovranno essere comunicati all’Autorità</w:t>
      </w:r>
      <w:r>
        <w:rPr>
          <w:spacing w:val="1"/>
        </w:rPr>
        <w:t xml:space="preserve"> </w:t>
      </w:r>
      <w:r>
        <w:t>nazionale anticorruzione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</w:t>
      </w:r>
      <w:proofErr w:type="spellStart"/>
      <w:r>
        <w:t>AgID</w:t>
      </w:r>
      <w:proofErr w:type="spellEnd"/>
      <w:r>
        <w:t>.</w:t>
      </w:r>
    </w:p>
    <w:p w14:paraId="0295847D" w14:textId="77777777" w:rsidR="00F45548" w:rsidRDefault="00AB7678" w:rsidP="00AB7678">
      <w:pPr>
        <w:pStyle w:val="Nessunaspaziatura"/>
        <w:jc w:val="both"/>
        <w:rPr>
          <w:i/>
        </w:rPr>
      </w:pPr>
      <w:r>
        <w:rPr>
          <w:i/>
        </w:rPr>
        <w:t>_________________</w:t>
      </w:r>
    </w:p>
    <w:p w14:paraId="3D08679B" w14:textId="77777777" w:rsidR="00F45548" w:rsidRDefault="00F45548" w:rsidP="00AB7678">
      <w:pPr>
        <w:pStyle w:val="Nessunaspaziatura"/>
        <w:jc w:val="both"/>
        <w:rPr>
          <w:i/>
        </w:rPr>
      </w:pPr>
    </w:p>
    <w:p w14:paraId="067B87FF" w14:textId="77777777" w:rsidR="00F45548" w:rsidRDefault="000835D2" w:rsidP="00AB7678">
      <w:pPr>
        <w:pStyle w:val="Nessunaspaziatura"/>
        <w:jc w:val="both"/>
      </w:pPr>
      <w:r>
        <w:t>Il Segretario Comunale</w:t>
      </w:r>
      <w:r>
        <w:rPr>
          <w:spacing w:val="-47"/>
        </w:rPr>
        <w:t xml:space="preserve"> </w:t>
      </w:r>
      <w:r w:rsidR="00AB7678">
        <w:t>________________________</w:t>
      </w:r>
    </w:p>
    <w:p w14:paraId="4C1CEE38" w14:textId="77777777" w:rsidR="00F45548" w:rsidRDefault="00F45548" w:rsidP="00AB7678">
      <w:pPr>
        <w:pStyle w:val="Nessunaspaziatura"/>
        <w:jc w:val="both"/>
      </w:pPr>
    </w:p>
    <w:p w14:paraId="0CEBB71C" w14:textId="77777777" w:rsidR="00F45548" w:rsidRDefault="00F45548" w:rsidP="00AB7678">
      <w:pPr>
        <w:pStyle w:val="Nessunaspaziatura"/>
        <w:jc w:val="both"/>
      </w:pPr>
    </w:p>
    <w:p w14:paraId="49DC5BB4" w14:textId="77777777" w:rsidR="00F45548" w:rsidRDefault="00F45548" w:rsidP="00AB7678">
      <w:pPr>
        <w:pStyle w:val="Nessunaspaziatura"/>
        <w:jc w:val="both"/>
        <w:rPr>
          <w:sz w:val="21"/>
        </w:rPr>
      </w:pPr>
    </w:p>
    <w:sectPr w:rsidR="00F45548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241"/>
    <w:multiLevelType w:val="hybridMultilevel"/>
    <w:tmpl w:val="9CA01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616FA"/>
    <w:multiLevelType w:val="hybridMultilevel"/>
    <w:tmpl w:val="C250ECF6"/>
    <w:lvl w:ilvl="0" w:tplc="656EC5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4093"/>
    <w:multiLevelType w:val="hybridMultilevel"/>
    <w:tmpl w:val="8C923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53CF7"/>
    <w:multiLevelType w:val="hybridMultilevel"/>
    <w:tmpl w:val="BF281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11629"/>
    <w:multiLevelType w:val="hybridMultilevel"/>
    <w:tmpl w:val="A024310E"/>
    <w:lvl w:ilvl="0" w:tplc="367EF572">
      <w:numFmt w:val="bullet"/>
      <w:lvlText w:val="-"/>
      <w:lvlJc w:val="left"/>
      <w:pPr>
        <w:ind w:left="112" w:hanging="1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0168C0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89A70A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A9EEFE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208424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3DBCB1C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BEEA8A2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0CB4925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B7163B2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637808635">
    <w:abstractNumId w:val="4"/>
  </w:num>
  <w:num w:numId="2" w16cid:durableId="730032317">
    <w:abstractNumId w:val="3"/>
  </w:num>
  <w:num w:numId="3" w16cid:durableId="617176635">
    <w:abstractNumId w:val="0"/>
  </w:num>
  <w:num w:numId="4" w16cid:durableId="477306682">
    <w:abstractNumId w:val="2"/>
  </w:num>
  <w:num w:numId="5" w16cid:durableId="107107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48"/>
    <w:rsid w:val="000835D2"/>
    <w:rsid w:val="003110C5"/>
    <w:rsid w:val="00AB7678"/>
    <w:rsid w:val="00F45548"/>
    <w:rsid w:val="00F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B06C"/>
  <w15:docId w15:val="{6869A807-4518-4291-9173-80F0C61B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spacing w:before="56" w:line="551" w:lineRule="exact"/>
      <w:ind w:left="1960" w:right="1965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"/>
      <w:ind w:left="112" w:right="1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AB767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MIGLIORINI</dc:creator>
  <cp:lastModifiedBy>Stefano Usai</cp:lastModifiedBy>
  <cp:revision>2</cp:revision>
  <dcterms:created xsi:type="dcterms:W3CDTF">2023-05-04T16:23:00Z</dcterms:created>
  <dcterms:modified xsi:type="dcterms:W3CDTF">2023-05-04T16:23:00Z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2023-05-02T00:00:00Z</vt:filetime>
  </property>
</Properties>
</file>