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0F6" w:rsidRDefault="00EA40F6" w:rsidP="00EA40F6">
      <w:pPr>
        <w:pStyle w:val="Standard"/>
        <w:autoSpaceDE w:val="0"/>
        <w:spacing w:line="240" w:lineRule="atLeast"/>
        <w:jc w:val="center"/>
        <w:rPr>
          <w:rFonts w:ascii="Arial" w:hAnsi="Arial" w:cs="Arial"/>
          <w:b/>
          <w:bCs/>
          <w:color w:val="000000"/>
          <w:sz w:val="24"/>
          <w:szCs w:val="24"/>
        </w:rPr>
      </w:pPr>
      <w:r>
        <w:rPr>
          <w:rFonts w:ascii="Arial" w:hAnsi="Arial" w:cs="Arial"/>
          <w:b/>
          <w:bCs/>
          <w:color w:val="000000"/>
          <w:sz w:val="24"/>
          <w:szCs w:val="24"/>
        </w:rPr>
        <w:t>LA GIUNTA COMUNALE</w:t>
      </w:r>
    </w:p>
    <w:p w:rsidR="00EA40F6" w:rsidRDefault="00EA40F6" w:rsidP="00EA40F6">
      <w:pPr>
        <w:pStyle w:val="Standard"/>
        <w:rPr>
          <w:rFonts w:ascii="Tahoma" w:hAnsi="Tahoma"/>
          <w:color w:val="000000"/>
          <w:sz w:val="22"/>
          <w:szCs w:val="22"/>
        </w:rPr>
      </w:pPr>
    </w:p>
    <w:p w:rsidR="00EA40F6" w:rsidRDefault="00EA40F6" w:rsidP="00EA40F6">
      <w:pPr>
        <w:pStyle w:val="Standard"/>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ind w:hanging="13"/>
        <w:jc w:val="both"/>
        <w:rPr>
          <w:rFonts w:ascii="Tahoma" w:hAnsi="Tahoma"/>
          <w:sz w:val="22"/>
          <w:szCs w:val="22"/>
        </w:rPr>
      </w:pPr>
    </w:p>
    <w:p w:rsidR="00EA40F6" w:rsidRDefault="00EA40F6" w:rsidP="00EA40F6">
      <w:pPr>
        <w:rPr>
          <w:szCs w:val="21"/>
        </w:rPr>
        <w:sectPr w:rsidR="00EA40F6">
          <w:headerReference w:type="default" r:id="rId7"/>
          <w:pgSz w:w="11906" w:h="16838"/>
          <w:pgMar w:top="2070" w:right="1134" w:bottom="1134" w:left="1134" w:header="960" w:footer="720" w:gutter="0"/>
          <w:cols w:space="720"/>
        </w:sectPr>
      </w:pPr>
    </w:p>
    <w:p w:rsidR="00EA40F6" w:rsidRDefault="00EA40F6" w:rsidP="00EA40F6">
      <w:pPr>
        <w:pStyle w:val="Textbody"/>
        <w:spacing w:after="57"/>
      </w:pPr>
      <w:r>
        <w:rPr>
          <w:rStyle w:val="StrongEmphasis"/>
          <w:rFonts w:ascii="Tahoma" w:hAnsi="Tahoma"/>
          <w:sz w:val="22"/>
          <w:szCs w:val="22"/>
        </w:rPr>
        <w:t xml:space="preserve">Visto </w:t>
      </w:r>
      <w:r>
        <w:rPr>
          <w:rFonts w:ascii="Tahoma" w:hAnsi="Tahoma"/>
          <w:sz w:val="22"/>
          <w:szCs w:val="22"/>
        </w:rPr>
        <w:t>l’articolo 14 della legge 7 agosto 2015, n. 124, recante “</w:t>
      </w:r>
      <w:r>
        <w:rPr>
          <w:rStyle w:val="Enfasicorsivo"/>
          <w:rFonts w:ascii="Tahoma" w:hAnsi="Tahoma"/>
          <w:sz w:val="22"/>
          <w:szCs w:val="22"/>
        </w:rPr>
        <w:t>Deleghe al Governo in materia di riorganizzazione delle amministrazioni pubbliche</w:t>
      </w:r>
      <w:r>
        <w:rPr>
          <w:rFonts w:ascii="Tahoma" w:hAnsi="Tahoma"/>
          <w:sz w:val="22"/>
          <w:szCs w:val="22"/>
        </w:rPr>
        <w:t>” che testualmente recita:</w:t>
      </w:r>
    </w:p>
    <w:p w:rsidR="00EA40F6" w:rsidRDefault="00EA40F6" w:rsidP="00EA40F6">
      <w:pPr>
        <w:pStyle w:val="Textbody"/>
        <w:spacing w:after="57"/>
        <w:rPr>
          <w:rFonts w:ascii="Tahoma" w:hAnsi="Tahoma"/>
          <w:sz w:val="22"/>
          <w:szCs w:val="22"/>
        </w:rPr>
      </w:pPr>
      <w:r>
        <w:rPr>
          <w:rFonts w:ascii="Tahoma" w:hAnsi="Tahoma"/>
          <w:sz w:val="22"/>
          <w:szCs w:val="22"/>
        </w:rPr>
        <w:t>1) Le amministrazioni pubbliche, nei limiti delle risorse di bilancio disponibili a legislazione vigente e senza nuovi o maggiori oneri per la finanza pubblica, adottano misure organizzative volte a fissare obiettivi annuali per l'attuazione del telelavoro e per la sperimentazione, anche al fine di tutelare le cure parentali, di nuove modalità spazio-temporali di svolgimento della prestazione lavorativa che permettano, entro tre anni, ad almeno il 10 per cento dei dipendenti, ove lo richiedano, di avvalersi di tali modalità, garantendo che i dipendenti che se ne avvalgono non subiscano penalizzazioni ai fini del riconoscimento di professionalità e della progressione di carriera. L'adozione delle misure organizzative e il raggiungimento degli obiettivi di cui al presente comma costituiscono oggetto di valutazione nell'ambito dei percorsi di misurazione della performance organizzativa e individuale all'interno delle amministrazioni pubbliche. Le amministrazioni pubbliche adeguano altresì i propri sistemi di monitoraggio e controllo interno, individuando specifici indicatori per la verifica dell'impatto sull'efficacia e sull'efficienza dell'azione amministrativa, nonché sulla qualità dei servizi erogati, delle misure organizzative adottate in tema di conciliazione dei tempi di vita e di lavoro dei dipendenti, anche coinvolgendo i cittadini, sia individualmente, sia nelle loro forme associative.</w:t>
      </w:r>
    </w:p>
    <w:p w:rsidR="00EA40F6" w:rsidRDefault="00EA40F6" w:rsidP="00EA40F6">
      <w:pPr>
        <w:pStyle w:val="Textbody"/>
        <w:spacing w:after="57"/>
        <w:rPr>
          <w:rFonts w:ascii="Tahoma" w:hAnsi="Tahoma"/>
          <w:sz w:val="22"/>
          <w:szCs w:val="22"/>
        </w:rPr>
      </w:pPr>
      <w:r>
        <w:rPr>
          <w:rFonts w:ascii="Tahoma" w:hAnsi="Tahoma"/>
          <w:sz w:val="22"/>
          <w:szCs w:val="22"/>
        </w:rPr>
        <w:t>2) Le amministrazioni pubbliche, nei limiti delle risorse di bilancio disponibili a legislazione vigente e senza nuovi o maggiori oneri per la finanza pubblica, procedono, al fine di conciliare i tempi di vita e di lavoro dei dipendenti, a stipulare convenzioni con asili nido e scuole dell'infanzia e a organizzare, anche attraverso accordi con altre amministrazioni pubbliche, servizi di supporto alla genitorialità, aperti durante i periodi di chiusura scolastica.</w:t>
      </w:r>
    </w:p>
    <w:p w:rsidR="00EA40F6" w:rsidRDefault="00EA40F6" w:rsidP="00EA40F6">
      <w:pPr>
        <w:pStyle w:val="Textbody"/>
        <w:spacing w:after="170"/>
      </w:pPr>
      <w:r>
        <w:rPr>
          <w:rFonts w:ascii="Tahoma" w:hAnsi="Tahoma"/>
          <w:sz w:val="22"/>
          <w:szCs w:val="22"/>
        </w:rPr>
        <w:t>3) c</w:t>
      </w:r>
      <w:r>
        <w:rPr>
          <w:rStyle w:val="Enfasicorsivo"/>
          <w:rFonts w:ascii="Tahoma" w:hAnsi="Tahoma"/>
          <w:sz w:val="22"/>
          <w:szCs w:val="22"/>
        </w:rPr>
        <w:t>on direttiva del Presidente del Consiglio dei ministri, sentita la Conferenza unificata di cui all'articolo 8 del decreto legislativo 28 agosto 1997, n. 281, sono definiti indirizzi per l'attuazione dei commi 1 e 2 del presente articolo e linee guida contenenti regole inerenti l'organizzazione del lavoro finalizzate a promuovere la conciliazione dei tempi di vita e di lavoro dei dipendenti</w:t>
      </w:r>
      <w:r>
        <w:rPr>
          <w:rFonts w:ascii="Tahoma" w:hAnsi="Tahoma"/>
          <w:sz w:val="22"/>
          <w:szCs w:val="22"/>
        </w:rPr>
        <w:t>”;</w:t>
      </w:r>
    </w:p>
    <w:p w:rsidR="00EA40F6" w:rsidRDefault="00EA40F6" w:rsidP="00EA40F6">
      <w:pPr>
        <w:pStyle w:val="Textbody"/>
        <w:spacing w:after="170"/>
        <w:rPr>
          <w:rFonts w:ascii="Tahoma" w:hAnsi="Tahoma"/>
          <w:sz w:val="22"/>
          <w:szCs w:val="22"/>
        </w:rPr>
      </w:pPr>
      <w:r>
        <w:rPr>
          <w:rStyle w:val="StrongEmphasis"/>
          <w:rFonts w:ascii="Tahoma" w:hAnsi="Tahoma"/>
          <w:sz w:val="22"/>
          <w:szCs w:val="22"/>
        </w:rPr>
        <w:t xml:space="preserve">Visto il Capo II “Lavoro agile” </w:t>
      </w:r>
      <w:r>
        <w:rPr>
          <w:rFonts w:ascii="Tahoma" w:hAnsi="Tahoma"/>
          <w:sz w:val="22"/>
          <w:szCs w:val="22"/>
        </w:rPr>
        <w:t>della Legge 22 maggio 2017, n. 81 recante “</w:t>
      </w:r>
      <w:r>
        <w:rPr>
          <w:rStyle w:val="Enfasicorsivo"/>
          <w:rFonts w:ascii="Tahoma" w:hAnsi="Tahoma"/>
          <w:sz w:val="22"/>
          <w:szCs w:val="22"/>
        </w:rPr>
        <w:t>Misure per la tutela del lavoro autonomo non imprenditoriale e misure volte a favorire l’articolazione flessibile nei tempi e nei luoghi del lavoro subordinato</w:t>
      </w:r>
      <w:r>
        <w:rPr>
          <w:rFonts w:ascii="Tahoma" w:hAnsi="Tahoma"/>
          <w:sz w:val="22"/>
          <w:szCs w:val="22"/>
        </w:rPr>
        <w:t>”</w:t>
      </w:r>
      <w:r>
        <w:rPr>
          <w:rFonts w:ascii="Tahoma" w:hAnsi="Tahoma"/>
          <w:sz w:val="22"/>
          <w:szCs w:val="22"/>
        </w:rPr>
        <w:t>, articolo 18, che testualmente recita:</w:t>
      </w:r>
    </w:p>
    <w:p w:rsidR="00EA40F6" w:rsidRDefault="00EA40F6" w:rsidP="00EA40F6">
      <w:pPr>
        <w:pStyle w:val="PreformattedText"/>
        <w:jc w:val="both"/>
        <w:rPr>
          <w:rFonts w:ascii="Tahoma" w:hAnsi="Tahoma"/>
          <w:sz w:val="22"/>
          <w:szCs w:val="22"/>
        </w:rPr>
      </w:pPr>
      <w:r>
        <w:rPr>
          <w:rFonts w:ascii="Tahoma" w:hAnsi="Tahoma"/>
          <w:sz w:val="22"/>
          <w:szCs w:val="22"/>
        </w:rPr>
        <w:t xml:space="preserve"> 1. Le disposizioni del presente capo, allo scopo di incrementare la competitività e agevolare la conciliazione dei tempi di vita e di lavoro, promuovono il lavoro agile quale modalità di esecuzione  del rapporto di lavoro subordinato stabilita mediante accordo tra le parti, anche con forme di organizzazione per fasi, cicli e obiettivi e senza precisi vincoli di orario o di luogo di lavoro, con il possibile utilizzo di strumenti tecnologici per lo svolgimento dell'attività lavorativa. La prestazione lavorativa viene eseguita, in parte all'interno di locali aziendali e in parte all'esterno senza una  postazione fissa, entro i soli limiti di durata massima dell'orario di lavoro giornaliero e settimanale,  derivanti dalla legge e dalla contrattazione collettiva.</w:t>
      </w:r>
    </w:p>
    <w:p w:rsidR="00EA40F6" w:rsidRDefault="00EA40F6" w:rsidP="00EA40F6">
      <w:pPr>
        <w:pStyle w:val="PreformattedText"/>
        <w:jc w:val="both"/>
        <w:rPr>
          <w:rFonts w:ascii="Tahoma" w:hAnsi="Tahoma"/>
          <w:sz w:val="22"/>
          <w:szCs w:val="22"/>
        </w:rPr>
      </w:pPr>
      <w:r>
        <w:rPr>
          <w:rFonts w:ascii="Tahoma" w:hAnsi="Tahoma"/>
          <w:sz w:val="22"/>
          <w:szCs w:val="22"/>
        </w:rPr>
        <w:t xml:space="preserve">  2. Il datore di lavoro è responsabile della sicurezza e del buon funzionamento degli strumenti tecnologici assegnati al lavoratore per lo svolgimento dell'attività lavorativa.</w:t>
      </w:r>
    </w:p>
    <w:p w:rsidR="00EA40F6" w:rsidRDefault="00EA40F6" w:rsidP="00EA40F6">
      <w:pPr>
        <w:pStyle w:val="PreformattedText"/>
        <w:jc w:val="both"/>
        <w:rPr>
          <w:rFonts w:ascii="Tahoma" w:hAnsi="Tahoma"/>
          <w:sz w:val="22"/>
          <w:szCs w:val="22"/>
        </w:rPr>
      </w:pPr>
      <w:r>
        <w:rPr>
          <w:rFonts w:ascii="Tahoma" w:hAnsi="Tahoma"/>
          <w:sz w:val="22"/>
          <w:szCs w:val="22"/>
        </w:rPr>
        <w:t xml:space="preserve">  3. Le disposizioni del presente capo si applicano, in quanto compatibili, anche nei rapporti di  lavoro alle dipendenze delle amministrazioni pubbliche di cui all'articolo 1, comma 2, del decreto legislativo 30 marzo 2001, n. 165, e successive modificazioni, secondo le direttive emanate anche ai sensi dell'articolo 14 della legge 7 agosto 2015, n. 124, e fatta salva l'applicazione delle diverse disposizioni specificamente adottate per tali rapporti.</w:t>
      </w:r>
    </w:p>
    <w:p w:rsidR="00EA40F6" w:rsidRDefault="00EA40F6" w:rsidP="00EA40F6">
      <w:pPr>
        <w:pStyle w:val="PreformattedText"/>
        <w:jc w:val="both"/>
        <w:rPr>
          <w:rFonts w:ascii="Tahoma" w:hAnsi="Tahoma"/>
          <w:sz w:val="22"/>
          <w:szCs w:val="22"/>
        </w:rPr>
      </w:pPr>
      <w:r>
        <w:rPr>
          <w:rFonts w:ascii="Tahoma" w:hAnsi="Tahoma"/>
          <w:sz w:val="22"/>
          <w:szCs w:val="22"/>
        </w:rPr>
        <w:t xml:space="preserve">  4. Gli incentivi di carattere fiscale e contributivo eventualmente riconosciuti in relazione agli  incrementi di produttività ed efficienza del lavoro subordinato sono applicabili anche quando l'attività lavorativa sia prestata in modalità di lavoro agile.</w:t>
      </w:r>
    </w:p>
    <w:p w:rsidR="00EA40F6" w:rsidRDefault="00EA40F6" w:rsidP="00EA40F6">
      <w:pPr>
        <w:pStyle w:val="PreformattedText"/>
        <w:jc w:val="both"/>
        <w:rPr>
          <w:rFonts w:ascii="Tahoma" w:hAnsi="Tahoma"/>
          <w:sz w:val="22"/>
          <w:szCs w:val="22"/>
        </w:rPr>
      </w:pPr>
      <w:r>
        <w:rPr>
          <w:rFonts w:ascii="Tahoma" w:hAnsi="Tahoma"/>
          <w:sz w:val="22"/>
          <w:szCs w:val="22"/>
        </w:rPr>
        <w:lastRenderedPageBreak/>
        <w:t xml:space="preserve">  5. Agli adempimenti di cui al presente articolo si provvede senza nuovi o maggiori oneri per la finanza pubblica, con le risorse umane, finanziarie e strumentali disponibili a legislazione vigente.</w:t>
      </w:r>
    </w:p>
    <w:p w:rsidR="00EA40F6" w:rsidRDefault="00EA40F6" w:rsidP="00EA40F6">
      <w:pPr>
        <w:pStyle w:val="Textbody"/>
        <w:spacing w:after="0"/>
        <w:rPr>
          <w:rFonts w:ascii="Tahoma" w:hAnsi="Tahoma"/>
          <w:sz w:val="22"/>
          <w:szCs w:val="22"/>
        </w:rPr>
      </w:pPr>
    </w:p>
    <w:p w:rsidR="00EA40F6" w:rsidRDefault="00EA40F6" w:rsidP="00EA40F6">
      <w:pPr>
        <w:pStyle w:val="Textbody"/>
        <w:spacing w:after="0"/>
        <w:rPr>
          <w:rFonts w:ascii="Tahoma" w:hAnsi="Tahoma"/>
          <w:sz w:val="22"/>
          <w:szCs w:val="22"/>
        </w:rPr>
      </w:pPr>
      <w:r>
        <w:rPr>
          <w:rStyle w:val="StrongEmphasis"/>
          <w:rFonts w:ascii="Tahoma" w:hAnsi="Tahoma"/>
          <w:sz w:val="22"/>
          <w:szCs w:val="22"/>
        </w:rPr>
        <w:t xml:space="preserve">Visto il Capo II “Lavoro agile” </w:t>
      </w:r>
      <w:r>
        <w:rPr>
          <w:rFonts w:ascii="Tahoma" w:hAnsi="Tahoma"/>
          <w:sz w:val="22"/>
          <w:szCs w:val="22"/>
        </w:rPr>
        <w:t>della Legge 22 maggio 2017, n. 81 recante “</w:t>
      </w:r>
      <w:r>
        <w:rPr>
          <w:rStyle w:val="Enfasicorsivo"/>
          <w:rFonts w:ascii="Tahoma" w:hAnsi="Tahoma"/>
          <w:sz w:val="22"/>
          <w:szCs w:val="22"/>
        </w:rPr>
        <w:t>Misure per la tutela del lavoro autonomo non imprenditoriale e misure volte a favorire l’articolazione flessibile nei tempi e nei luoghi del lavoro subordinato</w:t>
      </w:r>
      <w:r>
        <w:rPr>
          <w:rFonts w:ascii="Tahoma" w:hAnsi="Tahoma"/>
          <w:sz w:val="22"/>
          <w:szCs w:val="22"/>
        </w:rPr>
        <w:t>”, articol</w:t>
      </w:r>
      <w:r>
        <w:rPr>
          <w:rFonts w:ascii="Tahoma" w:hAnsi="Tahoma"/>
          <w:sz w:val="22"/>
          <w:szCs w:val="22"/>
        </w:rPr>
        <w:t>i 19, 20, 21 e 22</w:t>
      </w:r>
    </w:p>
    <w:p w:rsidR="00EA40F6" w:rsidRDefault="00EA40F6" w:rsidP="00EA40F6">
      <w:pPr>
        <w:pStyle w:val="Textbody"/>
        <w:spacing w:after="170"/>
        <w:rPr>
          <w:rStyle w:val="StrongEmphasis"/>
          <w:rFonts w:ascii="Tahoma" w:hAnsi="Tahoma"/>
          <w:sz w:val="22"/>
          <w:szCs w:val="22"/>
        </w:rPr>
      </w:pPr>
    </w:p>
    <w:p w:rsidR="00EA40F6" w:rsidRDefault="00EA40F6" w:rsidP="00EA40F6">
      <w:pPr>
        <w:jc w:val="both"/>
        <w:rPr>
          <w:rFonts w:ascii="Arial" w:hAnsi="Arial" w:cs="Arial"/>
        </w:rPr>
      </w:pPr>
      <w:r w:rsidRPr="00EA40F6">
        <w:rPr>
          <w:rStyle w:val="StrongEmphasis"/>
          <w:rFonts w:ascii="Tahoma" w:hAnsi="Tahoma"/>
          <w:sz w:val="22"/>
          <w:szCs w:val="22"/>
        </w:rPr>
        <w:t xml:space="preserve">Vista </w:t>
      </w:r>
      <w:r w:rsidRPr="00EA40F6">
        <w:rPr>
          <w:rFonts w:ascii="Arial" w:hAnsi="Arial" w:cs="Arial"/>
        </w:rPr>
        <w:t>la circolare dell’INAIL del 2/11/2017 n.48 ad Oggetto “Lavoro agile. Legge 22 maggio 2017, n. 81, articoli 18-23. Obbligo assicurativo e classificazione tariffaria, retribuzione imponibile, tutela assicurativa, tutela della salute e sicurezza dei lavoratori. Istruzioni operative.”</w:t>
      </w:r>
    </w:p>
    <w:p w:rsidR="00EA40F6" w:rsidRDefault="00EA40F6" w:rsidP="00EA40F6">
      <w:pPr>
        <w:jc w:val="both"/>
        <w:rPr>
          <w:rStyle w:val="StrongEmphasis"/>
          <w:rFonts w:ascii="Tahoma" w:hAnsi="Tahoma"/>
          <w:sz w:val="22"/>
          <w:szCs w:val="22"/>
        </w:rPr>
      </w:pPr>
    </w:p>
    <w:p w:rsidR="00EA40F6" w:rsidRDefault="00EA40F6" w:rsidP="00EA40F6">
      <w:pPr>
        <w:jc w:val="both"/>
        <w:rPr>
          <w:rFonts w:ascii="Tahoma" w:hAnsi="Tahoma"/>
          <w:sz w:val="22"/>
          <w:szCs w:val="22"/>
        </w:rPr>
      </w:pPr>
      <w:r>
        <w:rPr>
          <w:rStyle w:val="StrongEmphasis"/>
          <w:rFonts w:ascii="Tahoma" w:hAnsi="Tahoma"/>
          <w:sz w:val="22"/>
          <w:szCs w:val="22"/>
        </w:rPr>
        <w:t>Visto</w:t>
      </w:r>
      <w:r>
        <w:rPr>
          <w:rFonts w:ascii="Tahoma" w:hAnsi="Tahoma"/>
          <w:sz w:val="22"/>
          <w:szCs w:val="22"/>
        </w:rPr>
        <w:t xml:space="preserve"> il decreto legislativo 15 giugno 2015, n. 80, recante “</w:t>
      </w:r>
      <w:r>
        <w:rPr>
          <w:rStyle w:val="Enfasicorsivo"/>
          <w:rFonts w:ascii="Tahoma" w:hAnsi="Tahoma"/>
          <w:sz w:val="22"/>
          <w:szCs w:val="22"/>
        </w:rPr>
        <w:t>Misure per la conciliazione delle esigenze di cura, di vita e di lavoro, in attuazione dell'articolo 1, commi 8 e 9, della legge 10 dicembre 2014, n. 183</w:t>
      </w:r>
      <w:r>
        <w:rPr>
          <w:rFonts w:ascii="Tahoma" w:hAnsi="Tahoma"/>
          <w:sz w:val="22"/>
          <w:szCs w:val="22"/>
        </w:rPr>
        <w:t>”;</w:t>
      </w:r>
    </w:p>
    <w:p w:rsidR="00EA40F6" w:rsidRDefault="00EA40F6" w:rsidP="00EA40F6">
      <w:pPr>
        <w:jc w:val="both"/>
        <w:rPr>
          <w:rFonts w:ascii="Tahoma" w:hAnsi="Tahoma"/>
          <w:sz w:val="22"/>
          <w:szCs w:val="22"/>
        </w:rPr>
      </w:pPr>
      <w:r>
        <w:rPr>
          <w:rStyle w:val="StrongEmphasis"/>
          <w:rFonts w:ascii="Tahoma" w:hAnsi="Tahoma"/>
          <w:sz w:val="22"/>
          <w:szCs w:val="22"/>
        </w:rPr>
        <w:t xml:space="preserve">Visto </w:t>
      </w:r>
      <w:r>
        <w:rPr>
          <w:rFonts w:ascii="Tahoma" w:hAnsi="Tahoma"/>
          <w:sz w:val="22"/>
          <w:szCs w:val="22"/>
        </w:rPr>
        <w:t>il decreto legislativo 26 marzo 2001, n. 151, recante “Testo unico delle disposizioni legislative in materia di tutela e sostegno della maternità e della paternità, a norma dell'articolo 15 della legge 8 marzo 2000, n. 53;</w:t>
      </w:r>
    </w:p>
    <w:p w:rsidR="00EA40F6" w:rsidRDefault="00EA40F6" w:rsidP="00EA40F6">
      <w:pPr>
        <w:jc w:val="both"/>
        <w:rPr>
          <w:rFonts w:ascii="Tahoma" w:hAnsi="Tahoma"/>
          <w:sz w:val="22"/>
          <w:szCs w:val="22"/>
        </w:rPr>
      </w:pPr>
      <w:r>
        <w:rPr>
          <w:rStyle w:val="StrongEmphasis"/>
          <w:rFonts w:ascii="Tahoma" w:hAnsi="Tahoma"/>
          <w:sz w:val="22"/>
          <w:szCs w:val="22"/>
        </w:rPr>
        <w:t>Vista</w:t>
      </w:r>
      <w:r>
        <w:rPr>
          <w:rFonts w:ascii="Tahoma" w:hAnsi="Tahoma"/>
          <w:sz w:val="22"/>
          <w:szCs w:val="22"/>
        </w:rPr>
        <w:t>, la legge 8 marzo 2000, n. 53, recante “</w:t>
      </w:r>
      <w:r>
        <w:rPr>
          <w:rStyle w:val="Enfasicorsivo"/>
          <w:rFonts w:ascii="Tahoma" w:hAnsi="Tahoma"/>
          <w:sz w:val="22"/>
          <w:szCs w:val="22"/>
        </w:rPr>
        <w:t>Disposizioni per il sostegno della maternità e della paternità, per il diritto alla cura e alla formazione e per il coordinamento dei tempi delle città</w:t>
      </w:r>
      <w:r>
        <w:rPr>
          <w:rFonts w:ascii="Tahoma" w:hAnsi="Tahoma"/>
          <w:sz w:val="22"/>
          <w:szCs w:val="22"/>
        </w:rPr>
        <w:t>”;</w:t>
      </w:r>
    </w:p>
    <w:p w:rsidR="00EA40F6" w:rsidRPr="00EA40F6" w:rsidRDefault="00EA40F6" w:rsidP="00EA40F6">
      <w:pPr>
        <w:jc w:val="both"/>
        <w:rPr>
          <w:rFonts w:ascii="Arial" w:hAnsi="Arial" w:cs="Arial"/>
        </w:rPr>
      </w:pPr>
      <w:r>
        <w:rPr>
          <w:rStyle w:val="StrongEmphasis"/>
          <w:rFonts w:ascii="Tahoma" w:hAnsi="Tahoma"/>
          <w:sz w:val="22"/>
          <w:szCs w:val="22"/>
        </w:rPr>
        <w:t>Visto</w:t>
      </w:r>
      <w:r>
        <w:rPr>
          <w:rFonts w:ascii="Tahoma" w:hAnsi="Tahoma"/>
          <w:sz w:val="22"/>
          <w:szCs w:val="22"/>
        </w:rPr>
        <w:t xml:space="preserve"> il decreto legislativo 30 marzo 2001, n. 165, recante “</w:t>
      </w:r>
      <w:r>
        <w:rPr>
          <w:rStyle w:val="Enfasicorsivo"/>
          <w:rFonts w:ascii="Tahoma" w:hAnsi="Tahoma"/>
          <w:sz w:val="22"/>
          <w:szCs w:val="22"/>
        </w:rPr>
        <w:t>Norme generali sull’ordinamento del lavoro alle dipendenze delle amministrazioni pubbliche</w:t>
      </w:r>
      <w:r>
        <w:rPr>
          <w:rFonts w:ascii="Tahoma" w:hAnsi="Tahoma"/>
          <w:sz w:val="22"/>
          <w:szCs w:val="22"/>
        </w:rPr>
        <w:t>”;</w:t>
      </w:r>
    </w:p>
    <w:p w:rsidR="00EA40F6" w:rsidRDefault="00EA40F6" w:rsidP="00EA40F6">
      <w:pPr>
        <w:pStyle w:val="Textbody"/>
        <w:spacing w:after="170"/>
      </w:pPr>
      <w:r>
        <w:rPr>
          <w:rStyle w:val="StrongEmphasis"/>
          <w:rFonts w:ascii="Tahoma" w:hAnsi="Tahoma"/>
          <w:sz w:val="22"/>
          <w:szCs w:val="22"/>
        </w:rPr>
        <w:t>Visto</w:t>
      </w:r>
      <w:r>
        <w:rPr>
          <w:rFonts w:ascii="Tahoma" w:hAnsi="Tahoma"/>
          <w:sz w:val="22"/>
          <w:szCs w:val="22"/>
        </w:rPr>
        <w:t xml:space="preserve"> il decreto legislativo 27 ottobre 2009, n. 150, recante “</w:t>
      </w:r>
      <w:r>
        <w:rPr>
          <w:rStyle w:val="Enfasicorsivo"/>
          <w:rFonts w:ascii="Tahoma" w:hAnsi="Tahoma"/>
          <w:sz w:val="22"/>
          <w:szCs w:val="22"/>
        </w:rPr>
        <w:t>Attuazione della legge 4 marzo 2009, n. 15, in materia di ottimizzazione della produttività del lavoro pubblico e di efficienza e trasparenza delle pubbliche amministrazioni</w:t>
      </w:r>
      <w:r>
        <w:rPr>
          <w:rFonts w:ascii="Tahoma" w:hAnsi="Tahoma"/>
          <w:sz w:val="22"/>
          <w:szCs w:val="22"/>
        </w:rPr>
        <w:t>”;</w:t>
      </w:r>
    </w:p>
    <w:p w:rsidR="00EA40F6" w:rsidRDefault="00EA40F6" w:rsidP="00EA40F6">
      <w:pPr>
        <w:pStyle w:val="Textbody"/>
        <w:spacing w:after="170"/>
      </w:pPr>
      <w:r>
        <w:rPr>
          <w:rStyle w:val="StrongEmphasis"/>
          <w:rFonts w:ascii="Tahoma" w:hAnsi="Tahoma"/>
          <w:sz w:val="22"/>
          <w:szCs w:val="22"/>
        </w:rPr>
        <w:t>Visto</w:t>
      </w:r>
      <w:r>
        <w:rPr>
          <w:rFonts w:ascii="Tahoma" w:hAnsi="Tahoma"/>
          <w:sz w:val="22"/>
          <w:szCs w:val="22"/>
        </w:rPr>
        <w:t xml:space="preserve"> il decreto legislativo 15 giugno 2015, n. 81 recante “</w:t>
      </w:r>
      <w:r>
        <w:rPr>
          <w:rStyle w:val="Enfasicorsivo"/>
          <w:rFonts w:ascii="Tahoma" w:hAnsi="Tahoma"/>
          <w:sz w:val="22"/>
          <w:szCs w:val="22"/>
        </w:rPr>
        <w:t>Disciplina organica dei contratti di lavoro e revisione della normativa in tema di mansioni, a norma dell'articolo 1, comma 7, della legge 10 dicembre 2014, n. 183.</w:t>
      </w:r>
      <w:r>
        <w:rPr>
          <w:rFonts w:ascii="Tahoma" w:hAnsi="Tahoma"/>
          <w:sz w:val="22"/>
          <w:szCs w:val="22"/>
        </w:rPr>
        <w:t>”, ed in particolare l’art. 25 sul principio di non discriminazione;</w:t>
      </w:r>
    </w:p>
    <w:p w:rsidR="00EA40F6" w:rsidRDefault="00EA40F6" w:rsidP="00EA40F6">
      <w:pPr>
        <w:pStyle w:val="Textbody"/>
        <w:spacing w:after="170"/>
      </w:pPr>
      <w:r>
        <w:rPr>
          <w:rStyle w:val="StrongEmphasis"/>
          <w:rFonts w:ascii="Tahoma" w:hAnsi="Tahoma"/>
          <w:sz w:val="22"/>
          <w:szCs w:val="22"/>
        </w:rPr>
        <w:t xml:space="preserve">Visto </w:t>
      </w:r>
      <w:r>
        <w:rPr>
          <w:rFonts w:ascii="Tahoma" w:hAnsi="Tahoma"/>
          <w:sz w:val="22"/>
          <w:szCs w:val="22"/>
        </w:rPr>
        <w:t>il decreto legislativo 8 aprile 2003, n. 66, recante “</w:t>
      </w:r>
      <w:r>
        <w:rPr>
          <w:rStyle w:val="Enfasicorsivo"/>
          <w:rFonts w:ascii="Tahoma" w:hAnsi="Tahoma"/>
          <w:sz w:val="22"/>
          <w:szCs w:val="22"/>
        </w:rPr>
        <w:t>Attuazione delle direttive 93/104/CE e 2000/34/CE concernenti taluni aspetti dell'organizzazione dell'orario di lavoro</w:t>
      </w:r>
      <w:r>
        <w:rPr>
          <w:rFonts w:ascii="Tahoma" w:hAnsi="Tahoma"/>
          <w:sz w:val="22"/>
          <w:szCs w:val="22"/>
        </w:rPr>
        <w:t>”;</w:t>
      </w:r>
    </w:p>
    <w:p w:rsidR="00EA40F6" w:rsidRDefault="00EA40F6" w:rsidP="00EA40F6">
      <w:pPr>
        <w:pStyle w:val="Textbody"/>
        <w:spacing w:after="170"/>
      </w:pPr>
      <w:r>
        <w:rPr>
          <w:rStyle w:val="StrongEmphasis"/>
          <w:rFonts w:ascii="Tahoma" w:hAnsi="Tahoma"/>
          <w:sz w:val="22"/>
          <w:szCs w:val="22"/>
        </w:rPr>
        <w:t xml:space="preserve">Visto </w:t>
      </w:r>
      <w:r>
        <w:rPr>
          <w:rFonts w:ascii="Tahoma" w:hAnsi="Tahoma"/>
          <w:sz w:val="22"/>
          <w:szCs w:val="22"/>
        </w:rPr>
        <w:t>l’articolo 9 del decreto legislativo 12 maggio 2016, n. 90, recante “</w:t>
      </w:r>
      <w:r>
        <w:rPr>
          <w:rStyle w:val="Enfasicorsivo"/>
          <w:rFonts w:ascii="Tahoma" w:hAnsi="Tahoma"/>
          <w:sz w:val="22"/>
          <w:szCs w:val="22"/>
        </w:rPr>
        <w:t>Completamento della riforma della struttura del bilancio dello Stato, in attuazione dell'articolo 40, comma 1, della legge 31 dicembre 2009, n. 196</w:t>
      </w:r>
      <w:r>
        <w:rPr>
          <w:rFonts w:ascii="Tahoma" w:hAnsi="Tahoma"/>
          <w:sz w:val="22"/>
          <w:szCs w:val="22"/>
        </w:rPr>
        <w:t>”, in materia di bilancio di genere;</w:t>
      </w:r>
    </w:p>
    <w:p w:rsidR="00EA40F6" w:rsidRDefault="00EA40F6" w:rsidP="00EA40F6">
      <w:pPr>
        <w:pStyle w:val="Textbody"/>
        <w:spacing w:after="170"/>
      </w:pPr>
      <w:r>
        <w:rPr>
          <w:rStyle w:val="StrongEmphasis"/>
          <w:rFonts w:ascii="Tahoma" w:hAnsi="Tahoma"/>
          <w:sz w:val="22"/>
          <w:szCs w:val="22"/>
        </w:rPr>
        <w:t xml:space="preserve">Visto </w:t>
      </w:r>
      <w:r>
        <w:rPr>
          <w:rFonts w:ascii="Tahoma" w:hAnsi="Tahoma"/>
          <w:sz w:val="22"/>
          <w:szCs w:val="22"/>
        </w:rPr>
        <w:t>il decreto legislativo 9 aprile 2008, n. 81, recante “</w:t>
      </w:r>
      <w:r>
        <w:rPr>
          <w:rStyle w:val="Enfasicorsivo"/>
          <w:rFonts w:ascii="Tahoma" w:hAnsi="Tahoma"/>
          <w:sz w:val="22"/>
          <w:szCs w:val="22"/>
        </w:rPr>
        <w:t>Attuazione dell'articolo 1 della legge 3 agosto 2007, n. 123, in materia di tutela della salute e della sicurezza nei luoghi di lavoro</w:t>
      </w:r>
      <w:r>
        <w:rPr>
          <w:rFonts w:ascii="Tahoma" w:hAnsi="Tahoma"/>
          <w:sz w:val="22"/>
          <w:szCs w:val="22"/>
        </w:rPr>
        <w:t>”;</w:t>
      </w:r>
    </w:p>
    <w:p w:rsidR="00EA40F6" w:rsidRDefault="00EA40F6" w:rsidP="00EA40F6">
      <w:pPr>
        <w:pStyle w:val="Textbody"/>
        <w:spacing w:after="170"/>
      </w:pPr>
      <w:r>
        <w:rPr>
          <w:rStyle w:val="StrongEmphasis"/>
          <w:rFonts w:ascii="Tahoma" w:hAnsi="Tahoma"/>
          <w:sz w:val="22"/>
          <w:szCs w:val="22"/>
        </w:rPr>
        <w:t>Visto</w:t>
      </w:r>
      <w:r>
        <w:rPr>
          <w:rFonts w:ascii="Tahoma" w:hAnsi="Tahoma"/>
          <w:sz w:val="22"/>
          <w:szCs w:val="22"/>
        </w:rPr>
        <w:t xml:space="preserve"> il decreto del Presidente della Repubblica 8 marzo 1999, n. 70, recante “</w:t>
      </w:r>
      <w:r>
        <w:rPr>
          <w:rStyle w:val="Enfasicorsivo"/>
          <w:rFonts w:ascii="Tahoma" w:hAnsi="Tahoma"/>
          <w:sz w:val="22"/>
          <w:szCs w:val="22"/>
        </w:rPr>
        <w:t>Regolamento recante disciplina del telelavoro nelle pubbliche amministrazioni, a norma dell'articolo 4, comma 3, della legge 16 giugno 1998, n. 191</w:t>
      </w:r>
      <w:r>
        <w:rPr>
          <w:rFonts w:ascii="Tahoma" w:hAnsi="Tahoma"/>
          <w:sz w:val="22"/>
          <w:szCs w:val="22"/>
        </w:rPr>
        <w:t>”;</w:t>
      </w:r>
    </w:p>
    <w:p w:rsidR="00EA40F6" w:rsidRDefault="00EA40F6" w:rsidP="00EA40F6">
      <w:pPr>
        <w:pStyle w:val="Textbody"/>
        <w:spacing w:after="170"/>
      </w:pPr>
      <w:r>
        <w:rPr>
          <w:rStyle w:val="StrongEmphasis"/>
          <w:rFonts w:ascii="Tahoma" w:hAnsi="Tahoma"/>
          <w:sz w:val="22"/>
          <w:szCs w:val="22"/>
        </w:rPr>
        <w:t>Visto</w:t>
      </w:r>
      <w:r>
        <w:rPr>
          <w:rFonts w:ascii="Tahoma" w:hAnsi="Tahoma"/>
          <w:sz w:val="22"/>
          <w:szCs w:val="22"/>
        </w:rPr>
        <w:t xml:space="preserve"> l’Accordo quadro nazionale sul telelavoro nelle pubbliche amministrazioni, in attuazione delle disposizioni contenute nell’articolo 4, comma 3, della legge 16 giugno 1998, n. 191;</w:t>
      </w:r>
    </w:p>
    <w:p w:rsidR="00EA40F6" w:rsidRDefault="00EA40F6" w:rsidP="00EA40F6">
      <w:pPr>
        <w:pStyle w:val="Textbody"/>
        <w:spacing w:after="170"/>
      </w:pPr>
      <w:r>
        <w:rPr>
          <w:rStyle w:val="StrongEmphasis"/>
          <w:rFonts w:ascii="Tahoma" w:hAnsi="Tahoma"/>
          <w:sz w:val="22"/>
          <w:szCs w:val="22"/>
        </w:rPr>
        <w:t>Vista</w:t>
      </w:r>
      <w:r>
        <w:rPr>
          <w:rFonts w:ascii="Tahoma" w:hAnsi="Tahoma"/>
          <w:sz w:val="22"/>
          <w:szCs w:val="22"/>
        </w:rPr>
        <w:t xml:space="preserve"> la Direttiva 1999/70/CE del Consiglio del 28 giugno 1999 relativa all’Accordo quadro CES, UNICE E CEEP sul lavoro a tempo determinato e in particolare la clausola 4 riguardante il principio di non discriminazione;</w:t>
      </w:r>
    </w:p>
    <w:p w:rsidR="00EA40F6" w:rsidRDefault="00EA40F6" w:rsidP="00EA40F6">
      <w:pPr>
        <w:pStyle w:val="Textbody"/>
        <w:spacing w:after="170"/>
      </w:pPr>
      <w:r>
        <w:rPr>
          <w:rStyle w:val="StrongEmphasis"/>
          <w:rFonts w:ascii="Tahoma" w:hAnsi="Tahoma"/>
          <w:sz w:val="22"/>
          <w:szCs w:val="22"/>
        </w:rPr>
        <w:t>Vista</w:t>
      </w:r>
      <w:r>
        <w:rPr>
          <w:rFonts w:ascii="Tahoma" w:hAnsi="Tahoma"/>
          <w:sz w:val="22"/>
          <w:szCs w:val="22"/>
        </w:rPr>
        <w:t xml:space="preserve"> la Risoluzione del Parlamento europeo del 13 settembre 2016 sulla creazione di condizioni del mercato del lavoro favorevoli all’equilibrio tra vita privata e vita professionale;</w:t>
      </w:r>
    </w:p>
    <w:p w:rsidR="00EA40F6" w:rsidRDefault="00EA40F6" w:rsidP="00EA40F6">
      <w:pPr>
        <w:rPr>
          <w:szCs w:val="21"/>
        </w:rPr>
        <w:sectPr w:rsidR="00EA40F6">
          <w:type w:val="continuous"/>
          <w:pgSz w:w="11906" w:h="16838"/>
          <w:pgMar w:top="2070" w:right="1134" w:bottom="1134" w:left="1134" w:header="960" w:footer="720" w:gutter="0"/>
          <w:cols w:space="720"/>
        </w:sectPr>
      </w:pP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170"/>
        <w:jc w:val="both"/>
        <w:rPr>
          <w:rFonts w:ascii="Tahoma" w:hAnsi="Tahoma"/>
          <w:sz w:val="22"/>
          <w:szCs w:val="22"/>
        </w:rPr>
      </w:pPr>
      <w:r>
        <w:rPr>
          <w:rFonts w:ascii="Tahoma" w:hAnsi="Tahoma"/>
          <w:b/>
          <w:bCs/>
          <w:sz w:val="22"/>
          <w:szCs w:val="22"/>
        </w:rPr>
        <w:lastRenderedPageBreak/>
        <w:t>Richiamata</w:t>
      </w:r>
      <w:r>
        <w:rPr>
          <w:rFonts w:ascii="Tahoma" w:hAnsi="Tahoma"/>
          <w:sz w:val="22"/>
          <w:szCs w:val="22"/>
        </w:rPr>
        <w:t xml:space="preserve"> la Direttiva del Presidente del Consiglio dei Ministri n. 3/2017 in materia di lavoro agile emanata ai sensi del comma 3 dell'art. 14 della legge 124/2015 nonché dell'art. 18, comma 3 dell'A.S. 2233-B (ora Legge 22 maggio 2017, n. 81) la quale fornisce indirizzi per l'attuazione delle predette disposizioni attraverso una fase di sperimentazione;</w:t>
      </w:r>
    </w:p>
    <w:p w:rsidR="00EA40F6" w:rsidRPr="00EA40F6" w:rsidRDefault="00EA40F6" w:rsidP="00EA40F6">
      <w:pPr>
        <w:jc w:val="both"/>
        <w:rPr>
          <w:rFonts w:ascii="Arial" w:hAnsi="Arial" w:cs="Arial"/>
        </w:rPr>
      </w:pPr>
      <w:r w:rsidRPr="00EA40F6">
        <w:rPr>
          <w:b/>
        </w:rPr>
        <w:t xml:space="preserve">Visto </w:t>
      </w:r>
      <w:r>
        <w:rPr>
          <w:b/>
        </w:rPr>
        <w:t xml:space="preserve">il </w:t>
      </w:r>
      <w:r w:rsidRPr="00EA40F6">
        <w:rPr>
          <w:rFonts w:ascii="Arial" w:hAnsi="Arial" w:cs="Arial"/>
        </w:rPr>
        <w:t xml:space="preserve">D.P.C.M. 1 marzo 2020 “Ulteriori disposizioni attuative del decreto-legge 23 febbraio 2020, n. 6, recante misure urgenti in materia di contenimento e gestione dell'emergenza epidemiologica da CO-VID-19.” Pubblicato nella </w:t>
      </w:r>
      <w:proofErr w:type="spellStart"/>
      <w:r w:rsidRPr="00EA40F6">
        <w:rPr>
          <w:rFonts w:ascii="Arial" w:hAnsi="Arial" w:cs="Arial"/>
        </w:rPr>
        <w:t>Gazz</w:t>
      </w:r>
      <w:proofErr w:type="spellEnd"/>
      <w:r w:rsidRPr="00EA40F6">
        <w:rPr>
          <w:rFonts w:ascii="Arial" w:hAnsi="Arial" w:cs="Arial"/>
        </w:rPr>
        <w:t>. Uff. 1° marzo 2020, n. 52, Edizione Straordinaria ed in particolare l’art.4:</w:t>
      </w:r>
    </w:p>
    <w:p w:rsidR="00EA40F6" w:rsidRDefault="00EA40F6" w:rsidP="00EA40F6">
      <w:pPr>
        <w:pStyle w:val="Paragrafoelenco"/>
        <w:numPr>
          <w:ilvl w:val="0"/>
          <w:numId w:val="1"/>
        </w:numPr>
        <w:jc w:val="both"/>
        <w:rPr>
          <w:rFonts w:ascii="Arial" w:hAnsi="Arial" w:cs="Arial"/>
          <w:i/>
          <w:iCs/>
          <w:sz w:val="24"/>
          <w:szCs w:val="24"/>
        </w:rPr>
      </w:pPr>
      <w:r w:rsidRPr="003C0D5C">
        <w:rPr>
          <w:rFonts w:ascii="Arial" w:hAnsi="Arial" w:cs="Arial"/>
          <w:i/>
          <w:iCs/>
          <w:sz w:val="24"/>
          <w:szCs w:val="24"/>
        </w:rPr>
        <w:t>la modalità di lavoro agile disciplinata dagli articoli da 18 a 23 della legge 22 maggio 2017, n. 81, può essere applicata, 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p>
    <w:p w:rsidR="00EA40F6" w:rsidRDefault="00EA40F6" w:rsidP="00EA40F6">
      <w:pPr>
        <w:ind w:left="360"/>
        <w:jc w:val="both"/>
        <w:rPr>
          <w:rFonts w:ascii="Arial" w:hAnsi="Arial" w:cs="Arial"/>
          <w:iCs/>
        </w:rPr>
      </w:pPr>
      <w:r w:rsidRPr="00EA40F6">
        <w:rPr>
          <w:rFonts w:ascii="Arial" w:hAnsi="Arial" w:cs="Arial"/>
          <w:b/>
          <w:iCs/>
        </w:rPr>
        <w:t>Vist</w:t>
      </w:r>
      <w:r>
        <w:rPr>
          <w:rFonts w:ascii="Arial" w:hAnsi="Arial" w:cs="Arial"/>
          <w:b/>
          <w:iCs/>
        </w:rPr>
        <w:t xml:space="preserve">a </w:t>
      </w:r>
      <w:r>
        <w:rPr>
          <w:rFonts w:ascii="Arial" w:hAnsi="Arial" w:cs="Arial"/>
          <w:iCs/>
        </w:rPr>
        <w:t>la Direttiva del Ministro per la Pubblica Amministrazioni n. 1/2020 “prime indicazioni in materia di contenimento e gestione dell’emergenza epidemiologica da COVID-2019 nelle pubbliche amministrazioni al di fuori delle aree di cui all’articolo 1 del decreto legge n. 6/2020;</w:t>
      </w:r>
    </w:p>
    <w:p w:rsidR="00EA40F6" w:rsidRDefault="00EA40F6" w:rsidP="00EA40F6">
      <w:pPr>
        <w:ind w:left="360"/>
        <w:jc w:val="both"/>
        <w:rPr>
          <w:rFonts w:ascii="Arial" w:hAnsi="Arial" w:cs="Arial"/>
          <w:b/>
          <w:iCs/>
        </w:rPr>
      </w:pPr>
    </w:p>
    <w:p w:rsidR="00EA40F6" w:rsidRPr="00EA40F6" w:rsidRDefault="00EA40F6" w:rsidP="00EA40F6">
      <w:pPr>
        <w:ind w:left="360"/>
        <w:jc w:val="both"/>
        <w:rPr>
          <w:rFonts w:ascii="Arial" w:hAnsi="Arial" w:cs="Arial"/>
          <w:b/>
          <w:iCs/>
        </w:rPr>
      </w:pPr>
      <w:r>
        <w:rPr>
          <w:rFonts w:ascii="Arial" w:hAnsi="Arial" w:cs="Arial"/>
          <w:b/>
          <w:iCs/>
        </w:rPr>
        <w:t xml:space="preserve">Vista </w:t>
      </w:r>
      <w:r w:rsidRPr="00EA40F6">
        <w:rPr>
          <w:rFonts w:ascii="Arial" w:hAnsi="Arial" w:cs="Arial"/>
          <w:iCs/>
        </w:rPr>
        <w:t>la circolare del</w:t>
      </w:r>
      <w:r>
        <w:rPr>
          <w:rFonts w:ascii="Arial" w:hAnsi="Arial" w:cs="Arial"/>
          <w:b/>
          <w:iCs/>
        </w:rPr>
        <w:t xml:space="preserve"> </w:t>
      </w:r>
      <w:r>
        <w:rPr>
          <w:rFonts w:ascii="Arial" w:hAnsi="Arial" w:cs="Arial"/>
          <w:iCs/>
        </w:rPr>
        <w:t>Ministro per la Pubblica Amministrazioni n. 1/2020</w:t>
      </w:r>
      <w:r>
        <w:rPr>
          <w:rFonts w:ascii="Arial" w:hAnsi="Arial" w:cs="Arial"/>
          <w:iCs/>
        </w:rPr>
        <w:t xml:space="preserve"> “Misure incentivanti per il ricorso a modalità flessibili di svolgimento della prestazione lavorativa”</w:t>
      </w:r>
    </w:p>
    <w:p w:rsidR="00EA40F6" w:rsidRP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170"/>
        <w:jc w:val="both"/>
        <w:rPr>
          <w:b/>
        </w:rPr>
      </w:pP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170"/>
        <w:jc w:val="both"/>
      </w:pPr>
      <w:r>
        <w:rPr>
          <w:rFonts w:ascii="Tahoma" w:hAnsi="Tahoma"/>
          <w:b/>
          <w:bCs/>
          <w:sz w:val="22"/>
          <w:szCs w:val="22"/>
        </w:rPr>
        <w:t>Preso atto</w:t>
      </w:r>
      <w:r>
        <w:rPr>
          <w:rFonts w:ascii="Tahoma" w:hAnsi="Tahoma"/>
          <w:sz w:val="22"/>
          <w:szCs w:val="22"/>
        </w:rPr>
        <w:t xml:space="preserve"> che:</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57"/>
        <w:jc w:val="both"/>
        <w:rPr>
          <w:rFonts w:ascii="Tahoma" w:hAnsi="Tahoma"/>
          <w:sz w:val="22"/>
          <w:szCs w:val="22"/>
        </w:rPr>
      </w:pPr>
      <w:r>
        <w:rPr>
          <w:rFonts w:ascii="Tahoma" w:hAnsi="Tahoma"/>
          <w:sz w:val="22"/>
          <w:szCs w:val="22"/>
        </w:rPr>
        <w:t>- le linee guida contenute nella Direttiva n. 3/2017 contengono indicazioni inerenti l’organizzazione del lavoro e la gestione del personale per promuovere la conciliazione dei tempi di vita e di lavoro dei dipendenti, favorire il benessere organizzativo e assicurare l’esercizio dei diritti delle lavoratrici e dei lavoratori;</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57"/>
        <w:jc w:val="both"/>
        <w:rPr>
          <w:rFonts w:ascii="Tahoma" w:hAnsi="Tahoma"/>
          <w:sz w:val="22"/>
          <w:szCs w:val="22"/>
        </w:rPr>
      </w:pPr>
      <w:r>
        <w:rPr>
          <w:rFonts w:ascii="Tahoma" w:hAnsi="Tahoma"/>
          <w:sz w:val="22"/>
          <w:szCs w:val="22"/>
        </w:rPr>
        <w:t>- gli indirizzi, elaborati sulla base di un percorso condiviso con alcune amministrazioni, sono forniti, sentita la Conferenza unificata di cui all'articolo 8 del decreto legislativo 28 agosto 1997, n. 281, al fine di favorire una efficace applicazione delle predette misure da parte delle pubbliche amministrazioni nell’ambito della propria autonomia organizzativa e gestionale;</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57"/>
        <w:jc w:val="both"/>
        <w:rPr>
          <w:rFonts w:ascii="Tahoma" w:hAnsi="Tahoma"/>
          <w:sz w:val="22"/>
          <w:szCs w:val="22"/>
        </w:rPr>
      </w:pP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170"/>
        <w:jc w:val="both"/>
      </w:pPr>
      <w:r>
        <w:rPr>
          <w:rFonts w:ascii="Tahoma" w:hAnsi="Tahoma"/>
          <w:b/>
          <w:sz w:val="22"/>
          <w:szCs w:val="22"/>
        </w:rPr>
        <w:t xml:space="preserve">Sentiti </w:t>
      </w:r>
      <w:r>
        <w:rPr>
          <w:rFonts w:ascii="Tahoma" w:hAnsi="Tahoma"/>
          <w:sz w:val="22"/>
          <w:szCs w:val="22"/>
        </w:rPr>
        <w:t xml:space="preserve">il Comitato Unico di Garanzia </w:t>
      </w:r>
      <w:r>
        <w:rPr>
          <w:rFonts w:ascii="Tahoma" w:hAnsi="Tahoma"/>
          <w:sz w:val="22"/>
          <w:szCs w:val="22"/>
        </w:rPr>
        <w:t>ed il Nucleo di Valutazione (o OIV);</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57"/>
        <w:jc w:val="both"/>
      </w:pPr>
      <w:r>
        <w:rPr>
          <w:rFonts w:ascii="Tahoma" w:hAnsi="Tahoma"/>
          <w:b/>
          <w:bCs/>
          <w:sz w:val="22"/>
          <w:szCs w:val="22"/>
        </w:rPr>
        <w:t>Ritenuto</w:t>
      </w:r>
      <w:r>
        <w:rPr>
          <w:rFonts w:ascii="Tahoma" w:hAnsi="Tahoma"/>
          <w:sz w:val="22"/>
          <w:szCs w:val="22"/>
        </w:rPr>
        <w:t xml:space="preserve"> di approvare misure organizzative sperimentali in materia di lavoro agile o </w:t>
      </w:r>
      <w:proofErr w:type="spellStart"/>
      <w:r>
        <w:rPr>
          <w:rFonts w:ascii="Tahoma" w:hAnsi="Tahoma"/>
          <w:sz w:val="22"/>
          <w:szCs w:val="22"/>
        </w:rPr>
        <w:t>smart</w:t>
      </w:r>
      <w:proofErr w:type="spellEnd"/>
      <w:r>
        <w:rPr>
          <w:rFonts w:ascii="Tahoma" w:hAnsi="Tahoma"/>
          <w:sz w:val="22"/>
          <w:szCs w:val="22"/>
        </w:rPr>
        <w:t xml:space="preserve"> </w:t>
      </w:r>
      <w:proofErr w:type="spellStart"/>
      <w:r>
        <w:rPr>
          <w:rFonts w:ascii="Tahoma" w:hAnsi="Tahoma"/>
          <w:sz w:val="22"/>
          <w:szCs w:val="22"/>
        </w:rPr>
        <w:t>working</w:t>
      </w:r>
      <w:proofErr w:type="spellEnd"/>
      <w:r>
        <w:rPr>
          <w:rFonts w:ascii="Tahoma" w:hAnsi="Tahoma"/>
          <w:sz w:val="22"/>
          <w:szCs w:val="22"/>
        </w:rPr>
        <w:t xml:space="preserve"> finalizzate a:</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57"/>
        <w:jc w:val="both"/>
        <w:rPr>
          <w:rFonts w:ascii="Tahoma" w:hAnsi="Tahoma"/>
          <w:sz w:val="22"/>
          <w:szCs w:val="22"/>
        </w:rPr>
      </w:pPr>
      <w:r>
        <w:rPr>
          <w:rFonts w:ascii="Tahoma" w:hAnsi="Tahoma"/>
          <w:sz w:val="22"/>
          <w:szCs w:val="22"/>
        </w:rPr>
        <w:t>- offrire la possibilità ai dipendenti che ne facciano richiesta di prestare il proprio lavoro con modalità innovative e flessibili e, al tempo stesso, tali da salvaguardare comunque la produttività e il sistema delle relazioni del loro contesto lavorativo;</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57"/>
        <w:jc w:val="both"/>
        <w:rPr>
          <w:rFonts w:ascii="Tahoma" w:hAnsi="Tahoma"/>
          <w:sz w:val="22"/>
          <w:szCs w:val="22"/>
        </w:rPr>
      </w:pPr>
      <w:r>
        <w:rPr>
          <w:rFonts w:ascii="Tahoma" w:hAnsi="Tahoma"/>
          <w:sz w:val="22"/>
          <w:szCs w:val="22"/>
        </w:rPr>
        <w:t>- sperimentare forme nuove di impiego del personale che favoriscano lo sviluppo di una cultura gestionale orientata al lavoro per progetti, obiettivi e risultati;</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57"/>
        <w:jc w:val="both"/>
        <w:rPr>
          <w:rFonts w:ascii="Tahoma" w:hAnsi="Tahoma"/>
          <w:sz w:val="22"/>
          <w:szCs w:val="22"/>
        </w:rPr>
      </w:pPr>
      <w:r>
        <w:rPr>
          <w:rFonts w:ascii="Tahoma" w:hAnsi="Tahoma"/>
          <w:sz w:val="22"/>
          <w:szCs w:val="22"/>
        </w:rPr>
        <w:t>- introdurre modalità di organizzazione del lavoro volte a favorire una migliore conciliazione dei tempi vita e lavoro;</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170"/>
        <w:jc w:val="both"/>
        <w:rPr>
          <w:rFonts w:ascii="Tahoma" w:hAnsi="Tahoma"/>
          <w:sz w:val="22"/>
          <w:szCs w:val="22"/>
        </w:rPr>
      </w:pPr>
      <w:r>
        <w:rPr>
          <w:rFonts w:ascii="Tahoma" w:hAnsi="Tahoma"/>
          <w:sz w:val="22"/>
          <w:szCs w:val="22"/>
        </w:rPr>
        <w:t>- facilitare l’integrazione lavorativa dei soggetti in situazioni di disabilità o altri impedimenti di natura oggettiva, personale o familiare, anche temporanea;</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170"/>
        <w:jc w:val="both"/>
        <w:rPr>
          <w:rFonts w:ascii="Tahoma" w:hAnsi="Tahoma"/>
          <w:sz w:val="22"/>
          <w:szCs w:val="22"/>
        </w:rPr>
      </w:pPr>
      <w:r>
        <w:rPr>
          <w:rFonts w:ascii="Tahoma" w:hAnsi="Tahoma"/>
          <w:sz w:val="22"/>
          <w:szCs w:val="22"/>
        </w:rPr>
        <w:t>- prevedere il ricorso al lavoro agile in ca</w:t>
      </w:r>
      <w:r w:rsidR="00D34411">
        <w:rPr>
          <w:rFonts w:ascii="Tahoma" w:hAnsi="Tahoma"/>
          <w:sz w:val="22"/>
          <w:szCs w:val="22"/>
        </w:rPr>
        <w:t xml:space="preserve">so di condizioni di emergenza che si possono determinare, </w:t>
      </w:r>
      <w:r w:rsidR="00D34411">
        <w:rPr>
          <w:rFonts w:ascii="Tahoma" w:hAnsi="Tahoma"/>
          <w:sz w:val="22"/>
          <w:szCs w:val="22"/>
        </w:rPr>
        <w:lastRenderedPageBreak/>
        <w:t>ivi comprese quelle relative alle epidemie</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170"/>
        <w:jc w:val="both"/>
      </w:pPr>
      <w:r>
        <w:rPr>
          <w:rFonts w:ascii="Tahoma" w:hAnsi="Tahoma"/>
          <w:b/>
          <w:sz w:val="22"/>
          <w:szCs w:val="22"/>
        </w:rPr>
        <w:t xml:space="preserve">Ritenuto </w:t>
      </w:r>
      <w:r>
        <w:rPr>
          <w:rFonts w:ascii="Tahoma" w:hAnsi="Tahoma"/>
          <w:sz w:val="22"/>
          <w:szCs w:val="22"/>
        </w:rPr>
        <w:t>opportuno, al fine di valutarne il reale impatto sull’organizzazione del lavoro, avviare una fase di sperimentazione;</w:t>
      </w:r>
    </w:p>
    <w:p w:rsidR="00EA40F6" w:rsidRPr="00D34411" w:rsidRDefault="00EA40F6" w:rsidP="00EA40F6">
      <w:pPr>
        <w:pStyle w:val="Standard"/>
        <w:spacing w:after="170"/>
        <w:jc w:val="both"/>
        <w:rPr>
          <w:rFonts w:ascii="Tahoma" w:hAnsi="Tahoma"/>
          <w:sz w:val="22"/>
          <w:szCs w:val="22"/>
        </w:rPr>
      </w:pPr>
      <w:r>
        <w:rPr>
          <w:rFonts w:ascii="Tahoma" w:hAnsi="Tahoma"/>
          <w:b/>
          <w:sz w:val="22"/>
          <w:szCs w:val="22"/>
        </w:rPr>
        <w:t xml:space="preserve">Preso atto </w:t>
      </w:r>
      <w:r>
        <w:rPr>
          <w:rFonts w:ascii="Tahoma" w:hAnsi="Tahoma"/>
          <w:sz w:val="22"/>
          <w:szCs w:val="22"/>
        </w:rPr>
        <w:t>che è stata data informazione in merito al presente atto alle organizzazioni sindacali, alla RSU;</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170"/>
        <w:jc w:val="both"/>
        <w:rPr>
          <w:rFonts w:ascii="Tahoma" w:hAnsi="Tahoma"/>
          <w:sz w:val="22"/>
          <w:szCs w:val="22"/>
        </w:rPr>
      </w:pPr>
      <w:r>
        <w:rPr>
          <w:rFonts w:ascii="Tahoma" w:hAnsi="Tahoma"/>
          <w:sz w:val="22"/>
          <w:szCs w:val="22"/>
        </w:rPr>
        <w:t>Tutto ciò premesso e considerato;</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170"/>
        <w:jc w:val="both"/>
        <w:rPr>
          <w:rFonts w:ascii="Tahoma" w:hAnsi="Tahoma"/>
          <w:sz w:val="22"/>
          <w:szCs w:val="22"/>
        </w:rPr>
      </w:pPr>
      <w:r>
        <w:rPr>
          <w:rFonts w:ascii="Tahoma" w:hAnsi="Tahoma"/>
          <w:sz w:val="22"/>
          <w:szCs w:val="22"/>
        </w:rPr>
        <w:t xml:space="preserve">Visti i pareri favorevoli espressi, ai sensi dell'art. 49 del </w:t>
      </w:r>
      <w:proofErr w:type="spellStart"/>
      <w:r>
        <w:rPr>
          <w:rFonts w:ascii="Tahoma" w:hAnsi="Tahoma"/>
          <w:sz w:val="22"/>
          <w:szCs w:val="22"/>
        </w:rPr>
        <w:t>D.Lgs</w:t>
      </w:r>
      <w:proofErr w:type="spellEnd"/>
      <w:r>
        <w:rPr>
          <w:rFonts w:ascii="Tahoma" w:hAnsi="Tahoma"/>
          <w:sz w:val="22"/>
          <w:szCs w:val="22"/>
        </w:rPr>
        <w:t xml:space="preserve"> 267/2000;</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spacing w:after="170"/>
        <w:jc w:val="both"/>
        <w:rPr>
          <w:rFonts w:ascii="Tahoma" w:hAnsi="Tahoma"/>
          <w:sz w:val="22"/>
          <w:szCs w:val="22"/>
        </w:rPr>
      </w:pPr>
      <w:r>
        <w:rPr>
          <w:rFonts w:ascii="Tahoma" w:hAnsi="Tahoma"/>
          <w:sz w:val="22"/>
          <w:szCs w:val="22"/>
        </w:rPr>
        <w:t>A votazione unanime e favorevole, resa nei modi di legge;</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hAnsi="Tahoma"/>
          <w:sz w:val="22"/>
          <w:szCs w:val="22"/>
        </w:rPr>
      </w:pP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center"/>
        <w:rPr>
          <w:rFonts w:ascii="Tahoma" w:hAnsi="Tahoma"/>
          <w:b/>
          <w:bCs/>
          <w:sz w:val="22"/>
          <w:szCs w:val="22"/>
        </w:rPr>
      </w:pPr>
      <w:r>
        <w:rPr>
          <w:rFonts w:ascii="Tahoma" w:hAnsi="Tahoma"/>
          <w:b/>
          <w:bCs/>
          <w:sz w:val="22"/>
          <w:szCs w:val="22"/>
        </w:rPr>
        <w:t>D E L I B E R A</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hAnsi="Tahoma"/>
          <w:sz w:val="22"/>
          <w:szCs w:val="22"/>
        </w:rPr>
      </w:pP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pPr>
      <w:r>
        <w:rPr>
          <w:rFonts w:ascii="Tahoma" w:hAnsi="Tahoma"/>
          <w:sz w:val="22"/>
          <w:szCs w:val="22"/>
        </w:rPr>
        <w:t xml:space="preserve">1) Di approvare le </w:t>
      </w:r>
      <w:r>
        <w:rPr>
          <w:rFonts w:ascii="Tahoma" w:hAnsi="Tahoma" w:cs="Arial"/>
          <w:color w:val="000000"/>
          <w:sz w:val="22"/>
          <w:szCs w:val="22"/>
        </w:rPr>
        <w:t xml:space="preserve">misure organizzative per la sperimentazione di nuove modalità spazio temporali di svolgimento della prestazione lavorativa (lavoro agile o </w:t>
      </w:r>
      <w:proofErr w:type="spellStart"/>
      <w:r>
        <w:rPr>
          <w:rFonts w:ascii="Tahoma" w:hAnsi="Tahoma" w:cs="Arial"/>
          <w:color w:val="000000"/>
          <w:sz w:val="22"/>
          <w:szCs w:val="22"/>
        </w:rPr>
        <w:t>smart</w:t>
      </w:r>
      <w:proofErr w:type="spellEnd"/>
      <w:r>
        <w:rPr>
          <w:rFonts w:ascii="Tahoma" w:hAnsi="Tahoma" w:cs="Arial"/>
          <w:color w:val="000000"/>
          <w:sz w:val="22"/>
          <w:szCs w:val="22"/>
        </w:rPr>
        <w:t xml:space="preserve"> </w:t>
      </w:r>
      <w:proofErr w:type="spellStart"/>
      <w:r>
        <w:rPr>
          <w:rFonts w:ascii="Tahoma" w:hAnsi="Tahoma" w:cs="Arial"/>
          <w:color w:val="000000"/>
          <w:sz w:val="22"/>
          <w:szCs w:val="22"/>
        </w:rPr>
        <w:t>working</w:t>
      </w:r>
      <w:proofErr w:type="spellEnd"/>
      <w:r>
        <w:rPr>
          <w:rFonts w:ascii="Tahoma" w:hAnsi="Tahoma" w:cs="Arial"/>
          <w:color w:val="000000"/>
          <w:sz w:val="22"/>
          <w:szCs w:val="22"/>
        </w:rPr>
        <w:t>)</w:t>
      </w:r>
      <w:r w:rsidR="00D34411">
        <w:rPr>
          <w:rFonts w:ascii="Tahoma" w:hAnsi="Tahoma" w:cs="Arial"/>
          <w:color w:val="000000"/>
          <w:sz w:val="22"/>
          <w:szCs w:val="22"/>
        </w:rPr>
        <w:t>, ivi comprese le condizioni di emergenza</w:t>
      </w:r>
      <w:r>
        <w:rPr>
          <w:rFonts w:ascii="Tahoma" w:hAnsi="Tahoma"/>
          <w:sz w:val="22"/>
          <w:szCs w:val="22"/>
        </w:rPr>
        <w:t xml:space="preserve"> allegate al presente provvedimento a farne parte integrante e sostanziale;</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hAnsi="Tahoma"/>
          <w:sz w:val="22"/>
          <w:szCs w:val="22"/>
        </w:rPr>
      </w:pP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eastAsia="Garamond" w:hAnsi="Tahoma" w:cs="Garamond"/>
          <w:sz w:val="22"/>
          <w:szCs w:val="22"/>
        </w:rPr>
      </w:pPr>
      <w:r>
        <w:rPr>
          <w:rFonts w:ascii="Tahoma" w:eastAsia="Garamond" w:hAnsi="Tahoma" w:cs="Garamond"/>
          <w:sz w:val="22"/>
          <w:szCs w:val="22"/>
        </w:rPr>
        <w:t>2) Di avviare una fase di sperimentazione al fine di valutarne il reale impatto sull’organizzazione del lavoro;</w:t>
      </w:r>
    </w:p>
    <w:p w:rsidR="00D34411" w:rsidRDefault="00D34411"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eastAsia="Garamond" w:hAnsi="Tahoma" w:cs="Garamond"/>
          <w:sz w:val="22"/>
          <w:szCs w:val="22"/>
        </w:rPr>
      </w:pPr>
    </w:p>
    <w:p w:rsidR="00D34411" w:rsidRDefault="00D34411"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eastAsia="Garamond" w:hAnsi="Tahoma" w:cs="Garamond"/>
          <w:sz w:val="22"/>
          <w:szCs w:val="22"/>
        </w:rPr>
      </w:pPr>
      <w:r>
        <w:rPr>
          <w:rFonts w:ascii="Tahoma" w:eastAsia="Garamond" w:hAnsi="Tahoma" w:cs="Garamond"/>
          <w:sz w:val="22"/>
          <w:szCs w:val="22"/>
        </w:rPr>
        <w:t>3) Di consentire l’avvio immediato della utilizzazione del cd lavoro agile in presenza di condizioni di emergenza sanitaria;</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eastAsia="Garamond" w:hAnsi="Tahoma" w:cs="Garamond"/>
          <w:sz w:val="22"/>
          <w:szCs w:val="22"/>
        </w:rPr>
      </w:pPr>
    </w:p>
    <w:p w:rsidR="00EA40F6" w:rsidRDefault="00D34411"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hAnsi="Tahoma"/>
          <w:sz w:val="22"/>
          <w:szCs w:val="22"/>
        </w:rPr>
      </w:pPr>
      <w:r>
        <w:rPr>
          <w:rFonts w:ascii="Tahoma" w:hAnsi="Tahoma"/>
          <w:sz w:val="22"/>
          <w:szCs w:val="22"/>
        </w:rPr>
        <w:t>4</w:t>
      </w:r>
      <w:bookmarkStart w:id="0" w:name="_GoBack"/>
      <w:bookmarkEnd w:id="0"/>
      <w:r w:rsidR="00EA40F6">
        <w:rPr>
          <w:rFonts w:ascii="Tahoma" w:hAnsi="Tahoma"/>
          <w:sz w:val="22"/>
          <w:szCs w:val="22"/>
        </w:rPr>
        <w:t>) Di provvedere, successivamente, a verificare l'impatto delle misure organizzative adottate in tema di conciliazione dei tempi di vita e di lavoro dei dipendenti sull'efficacia e sull'efficienza dell'azione amministrativa, nonché sulla qualità dei servizi erogati.</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hAnsi="Tahoma"/>
          <w:sz w:val="22"/>
          <w:szCs w:val="22"/>
        </w:rPr>
      </w:pP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hAnsi="Tahoma"/>
          <w:sz w:val="22"/>
          <w:szCs w:val="22"/>
        </w:rPr>
      </w:pP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hAnsi="Tahoma"/>
          <w:sz w:val="22"/>
          <w:szCs w:val="22"/>
        </w:rPr>
      </w:pP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hAnsi="Tahoma"/>
          <w:sz w:val="22"/>
          <w:szCs w:val="22"/>
        </w:rPr>
      </w:pPr>
      <w:r>
        <w:rPr>
          <w:rFonts w:ascii="Tahoma" w:hAnsi="Tahoma"/>
          <w:sz w:val="22"/>
          <w:szCs w:val="22"/>
        </w:rPr>
        <w:t>Quindi, a voti unanimi, espressi per alzata di mano:</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center"/>
        <w:rPr>
          <w:rFonts w:ascii="Tahoma" w:hAnsi="Tahoma"/>
          <w:sz w:val="22"/>
          <w:szCs w:val="22"/>
        </w:rPr>
      </w:pP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center"/>
        <w:rPr>
          <w:rFonts w:ascii="Tahoma" w:hAnsi="Tahoma"/>
          <w:b/>
          <w:bCs/>
          <w:sz w:val="22"/>
          <w:szCs w:val="22"/>
        </w:rPr>
      </w:pPr>
      <w:r>
        <w:rPr>
          <w:rFonts w:ascii="Tahoma" w:hAnsi="Tahoma"/>
          <w:b/>
          <w:bCs/>
          <w:sz w:val="22"/>
          <w:szCs w:val="22"/>
        </w:rPr>
        <w:t>D E L I B E R A</w:t>
      </w:r>
    </w:p>
    <w:p w:rsidR="00EA40F6" w:rsidRDefault="00EA40F6" w:rsidP="00EA40F6">
      <w:pPr>
        <w:pStyle w:val="Standard"/>
        <w:widowControl w:val="0"/>
        <w:tabs>
          <w:tab w:val="left" w:pos="600"/>
          <w:tab w:val="left" w:pos="1200"/>
          <w:tab w:val="left" w:pos="1800"/>
          <w:tab w:val="left" w:pos="2400"/>
          <w:tab w:val="left" w:pos="3000"/>
          <w:tab w:val="left" w:pos="3600"/>
          <w:tab w:val="left" w:pos="4800"/>
          <w:tab w:val="left" w:pos="5400"/>
          <w:tab w:val="left" w:pos="6000"/>
          <w:tab w:val="left" w:pos="6600"/>
          <w:tab w:val="left" w:pos="7200"/>
          <w:tab w:val="left" w:pos="7800"/>
        </w:tabs>
        <w:autoSpaceDE w:val="0"/>
        <w:jc w:val="both"/>
        <w:rPr>
          <w:rFonts w:ascii="Tahoma" w:hAnsi="Tahoma"/>
          <w:sz w:val="22"/>
          <w:szCs w:val="22"/>
        </w:rPr>
      </w:pPr>
    </w:p>
    <w:p w:rsidR="00EA40F6" w:rsidRDefault="00EA40F6" w:rsidP="00EA40F6">
      <w:pPr>
        <w:pStyle w:val="Standard"/>
      </w:pPr>
      <w:r>
        <w:rPr>
          <w:rFonts w:ascii="Tahoma" w:hAnsi="Tahoma"/>
          <w:sz w:val="22"/>
          <w:szCs w:val="22"/>
        </w:rPr>
        <w:t xml:space="preserve">Di dichiarare il presente atto immediatamente eseguibile ai sensi dell'art. 134, comma 4°, del </w:t>
      </w:r>
      <w:proofErr w:type="spellStart"/>
      <w:r>
        <w:rPr>
          <w:rFonts w:ascii="Tahoma" w:hAnsi="Tahoma"/>
          <w:sz w:val="22"/>
          <w:szCs w:val="22"/>
        </w:rPr>
        <w:t>D.Lgs</w:t>
      </w:r>
      <w:proofErr w:type="spellEnd"/>
      <w:r>
        <w:rPr>
          <w:rFonts w:ascii="Tahoma" w:hAnsi="Tahoma"/>
          <w:sz w:val="22"/>
          <w:szCs w:val="22"/>
        </w:rPr>
        <w:t xml:space="preserve"> 267/2000. </w:t>
      </w:r>
      <w:r>
        <w:t xml:space="preserve"> </w:t>
      </w:r>
    </w:p>
    <w:p w:rsidR="0059651A" w:rsidRDefault="0059651A"/>
    <w:sectPr w:rsidR="0059651A" w:rsidSect="00E02F6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4FE" w:rsidRDefault="00DE04FE" w:rsidP="00EA40F6">
      <w:r>
        <w:separator/>
      </w:r>
    </w:p>
  </w:endnote>
  <w:endnote w:type="continuationSeparator" w:id="0">
    <w:p w:rsidR="00DE04FE" w:rsidRDefault="00DE04FE" w:rsidP="00EA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4FE" w:rsidRDefault="00DE04FE" w:rsidP="00EA40F6">
      <w:r>
        <w:separator/>
      </w:r>
    </w:p>
  </w:footnote>
  <w:footnote w:type="continuationSeparator" w:id="0">
    <w:p w:rsidR="00DE04FE" w:rsidRDefault="00DE04FE" w:rsidP="00EA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FC" w:rsidRDefault="00DE04FE">
    <w:pPr>
      <w:pStyle w:val="Intestazione"/>
      <w:tabs>
        <w:tab w:val="clear" w:pos="4819"/>
        <w:tab w:val="clear" w:pos="9638"/>
        <w:tab w:val="left" w:pos="337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178E"/>
    <w:multiLevelType w:val="hybridMultilevel"/>
    <w:tmpl w:val="C046F6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440F38"/>
    <w:multiLevelType w:val="hybridMultilevel"/>
    <w:tmpl w:val="ECE47E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D90307"/>
    <w:multiLevelType w:val="hybridMultilevel"/>
    <w:tmpl w:val="7E88A8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F6"/>
    <w:rsid w:val="00461A82"/>
    <w:rsid w:val="0059651A"/>
    <w:rsid w:val="00650335"/>
    <w:rsid w:val="007656CA"/>
    <w:rsid w:val="0089131A"/>
    <w:rsid w:val="00A83820"/>
    <w:rsid w:val="00B230D0"/>
    <w:rsid w:val="00B9306B"/>
    <w:rsid w:val="00D34411"/>
    <w:rsid w:val="00DE04FE"/>
    <w:rsid w:val="00E02F67"/>
    <w:rsid w:val="00EA40F6"/>
    <w:rsid w:val="00F746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4B41"/>
  <w15:chartTrackingRefBased/>
  <w15:docId w15:val="{7E6440CE-66E8-F540-A20C-1DAEDFC8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40F6"/>
    <w:pPr>
      <w:widowControl w:val="0"/>
      <w:suppressAutoHyphens/>
      <w:autoSpaceDN w:val="0"/>
      <w:textAlignment w:val="baseline"/>
    </w:pPr>
    <w:rPr>
      <w:rFonts w:ascii="Times New Roman" w:eastAsia="SimSun" w:hAnsi="Times New Roman" w:cs="Mangal"/>
      <w:kern w:val="3"/>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A40F6"/>
    <w:pPr>
      <w:suppressAutoHyphens/>
      <w:autoSpaceDN w:val="0"/>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EA40F6"/>
    <w:pPr>
      <w:keepNext/>
      <w:keepLines/>
      <w:autoSpaceDE w:val="0"/>
      <w:spacing w:after="120" w:line="240" w:lineRule="atLeast"/>
      <w:jc w:val="both"/>
    </w:pPr>
    <w:rPr>
      <w:color w:val="000000"/>
    </w:rPr>
  </w:style>
  <w:style w:type="paragraph" w:styleId="Intestazione">
    <w:name w:val="header"/>
    <w:basedOn w:val="Standard"/>
    <w:link w:val="IntestazioneCarattere"/>
    <w:rsid w:val="00EA40F6"/>
    <w:pPr>
      <w:tabs>
        <w:tab w:val="center" w:pos="4819"/>
        <w:tab w:val="right" w:pos="9638"/>
      </w:tabs>
    </w:pPr>
  </w:style>
  <w:style w:type="character" w:customStyle="1" w:styleId="IntestazioneCarattere">
    <w:name w:val="Intestazione Carattere"/>
    <w:basedOn w:val="Carpredefinitoparagrafo"/>
    <w:link w:val="Intestazione"/>
    <w:rsid w:val="00EA40F6"/>
    <w:rPr>
      <w:rFonts w:ascii="Times New Roman" w:eastAsia="Times New Roman" w:hAnsi="Times New Roman" w:cs="Times New Roman"/>
      <w:kern w:val="3"/>
      <w:sz w:val="20"/>
      <w:szCs w:val="20"/>
      <w:lang w:eastAsia="zh-CN"/>
    </w:rPr>
  </w:style>
  <w:style w:type="paragraph" w:styleId="Pidipagina">
    <w:name w:val="footer"/>
    <w:basedOn w:val="Standard"/>
    <w:link w:val="PidipaginaCarattere"/>
    <w:rsid w:val="00EA40F6"/>
    <w:pPr>
      <w:tabs>
        <w:tab w:val="center" w:pos="4819"/>
        <w:tab w:val="right" w:pos="9638"/>
      </w:tabs>
    </w:pPr>
  </w:style>
  <w:style w:type="character" w:customStyle="1" w:styleId="PidipaginaCarattere">
    <w:name w:val="Piè di pagina Carattere"/>
    <w:basedOn w:val="Carpredefinitoparagrafo"/>
    <w:link w:val="Pidipagina"/>
    <w:rsid w:val="00EA40F6"/>
    <w:rPr>
      <w:rFonts w:ascii="Times New Roman" w:eastAsia="Times New Roman" w:hAnsi="Times New Roman" w:cs="Times New Roman"/>
      <w:kern w:val="3"/>
      <w:sz w:val="20"/>
      <w:szCs w:val="20"/>
      <w:lang w:eastAsia="zh-CN"/>
    </w:rPr>
  </w:style>
  <w:style w:type="paragraph" w:customStyle="1" w:styleId="PreformattedText">
    <w:name w:val="Preformatted Text"/>
    <w:basedOn w:val="Standard"/>
    <w:rsid w:val="00EA40F6"/>
  </w:style>
  <w:style w:type="character" w:customStyle="1" w:styleId="StrongEmphasis">
    <w:name w:val="Strong Emphasis"/>
    <w:rsid w:val="00EA40F6"/>
    <w:rPr>
      <w:b/>
      <w:bCs/>
    </w:rPr>
  </w:style>
  <w:style w:type="character" w:styleId="Enfasicorsivo">
    <w:name w:val="Emphasis"/>
    <w:rsid w:val="00EA40F6"/>
    <w:rPr>
      <w:i/>
      <w:iCs/>
    </w:rPr>
  </w:style>
  <w:style w:type="paragraph" w:styleId="Paragrafoelenco">
    <w:name w:val="List Paragraph"/>
    <w:basedOn w:val="Normale"/>
    <w:uiPriority w:val="1"/>
    <w:qFormat/>
    <w:rsid w:val="00EA40F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stofumetto">
    <w:name w:val="Balloon Text"/>
    <w:basedOn w:val="Normale"/>
    <w:link w:val="TestofumettoCarattere"/>
    <w:uiPriority w:val="99"/>
    <w:semiHidden/>
    <w:unhideWhenUsed/>
    <w:rsid w:val="00F7461E"/>
    <w:rPr>
      <w:sz w:val="18"/>
      <w:szCs w:val="16"/>
    </w:rPr>
  </w:style>
  <w:style w:type="character" w:customStyle="1" w:styleId="TestofumettoCarattere">
    <w:name w:val="Testo fumetto Carattere"/>
    <w:basedOn w:val="Carpredefinitoparagrafo"/>
    <w:link w:val="Testofumetto"/>
    <w:uiPriority w:val="99"/>
    <w:semiHidden/>
    <w:rsid w:val="00F7461E"/>
    <w:rPr>
      <w:rFonts w:ascii="Times New Roman" w:eastAsia="SimSun" w:hAnsi="Times New Roman"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1926</Words>
  <Characters>10983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2020-03-07T11:33:00Z</cp:lastPrinted>
  <dcterms:created xsi:type="dcterms:W3CDTF">2020-03-07T15:44:00Z</dcterms:created>
  <dcterms:modified xsi:type="dcterms:W3CDTF">2020-03-07T15:44:00Z</dcterms:modified>
</cp:coreProperties>
</file>